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11A4" w:rsidRDefault="005226AA">
      <w:pPr>
        <w:pStyle w:val="1"/>
        <w:rPr>
          <w:rFonts w:ascii="Times New Roman"/>
        </w:rPr>
      </w:pPr>
      <w:bookmarkStart w:id="0" w:name="_Toc128756543"/>
      <w:r>
        <w:rPr>
          <w:rFonts w:ascii="Times New Roman"/>
        </w:rPr>
        <w:t>六、充分发挥新能源的生态环境保护效益</w:t>
      </w:r>
      <w:bookmarkEnd w:id="0"/>
    </w:p>
    <w:p w:rsidR="005011A4" w:rsidRDefault="005226AA">
      <w:r>
        <w:t>在</w:t>
      </w:r>
      <w:r>
        <w:rPr>
          <w:rFonts w:ascii="方正仿宋_GBK" w:hAnsi="方正仿宋_GBK" w:hint="eastAsia"/>
        </w:rPr>
        <w:t>“</w:t>
      </w:r>
      <w:r>
        <w:t>双碳</w:t>
      </w:r>
      <w:r>
        <w:rPr>
          <w:rFonts w:ascii="方正仿宋_GBK" w:hAnsi="方正仿宋_GBK" w:hint="eastAsia"/>
        </w:rPr>
        <w:t>”</w:t>
      </w:r>
      <w:r>
        <w:t>背景下，需深刻理解新能源与生态环境的关系，深入挖掘新能源的生态价值，通过合理的政策支持和科学的标准规范，推动新能源高质量发展，充分发挥新能源的生态效益。《实施方案》主要从以下两个方面提出发挥新能源生态效益的举措。</w:t>
      </w:r>
    </w:p>
    <w:p w:rsidR="005011A4" w:rsidRDefault="005226AA">
      <w:pPr>
        <w:pStyle w:val="2"/>
        <w:rPr>
          <w:rFonts w:ascii="Times New Roman"/>
        </w:rPr>
      </w:pPr>
      <w:bookmarkStart w:id="1" w:name="_Toc128756544"/>
      <w:r>
        <w:rPr>
          <w:rFonts w:ascii="Times New Roman"/>
          <w:bCs/>
        </w:rPr>
        <w:t>（十七）</w:t>
      </w:r>
      <w:r>
        <w:rPr>
          <w:rFonts w:ascii="Times New Roman"/>
        </w:rPr>
        <w:t>大力推广生态修复类新能源项目</w:t>
      </w:r>
      <w:bookmarkEnd w:id="1"/>
    </w:p>
    <w:p w:rsidR="005011A4" w:rsidRDefault="005226AA">
      <w:pPr>
        <w:rPr>
          <w:rFonts w:eastAsia="方正楷体_GBK"/>
        </w:rPr>
      </w:pPr>
      <w:r>
        <w:rPr>
          <w:rFonts w:eastAsia="方正楷体_GBK"/>
        </w:rPr>
        <w:t>主要政策点：坚持生态优先，科学评价新能源项目生态环境影响和效益，研究出台光伏治沙等生态修复类新能源项目设计、施工、运维等标准规范，支持在石漠化、荒漠化土地以及采煤沉陷区等矿区开展具有生态环境保护和修复效益的新能源项目。</w:t>
      </w:r>
    </w:p>
    <w:p w:rsidR="005011A4" w:rsidRDefault="005226AA">
      <w:r>
        <w:t>党的十八大以来，党中央把生态文明建设摆在全局工作的突出位置，全面加强生态文明建设，推进绿色低碳循环发展，一体</w:t>
      </w:r>
      <w:r>
        <w:rPr>
          <w:rFonts w:hint="eastAsia"/>
        </w:rPr>
        <w:t>化</w:t>
      </w:r>
      <w:r>
        <w:t>治理山水林田湖草沙，开展了一系列根本性、开创性、长远性工作，决心之大、力度之大、成效之大前所未有，生态文明建设从认识到实践都发生了历史性、转折性、全局性的变化。在碳达峰、碳中和目标引</w:t>
      </w:r>
      <w:r>
        <w:t>导下，积极推进能源绿色低碳转型发展成为战略任务，大力推动新能源开发成为时代之需，与生态环境协同发展更是高质量发展的必然要求。</w:t>
      </w:r>
    </w:p>
    <w:p w:rsidR="005011A4" w:rsidRDefault="005226AA">
      <w:r>
        <w:t>我国新能源开发一直重视生态环境评估，管理手续包括但不限于林地使用许可、草地使用许可、环境影响评价、水土保持方案等，充分体现了我国坚持生态优先的发展理念。近年来，我国一直在积极探索生态环境脆弱地区的生态修复模式，目前已在内蒙古、青海、</w:t>
      </w:r>
      <w:r>
        <w:lastRenderedPageBreak/>
        <w:t>宁夏、云南、山西等地建成一批治理沙漠、戈壁、荒漠、石漠、采煤沉陷区</w:t>
      </w:r>
      <w:r>
        <w:rPr>
          <w:rFonts w:hint="eastAsia"/>
        </w:rPr>
        <w:t>、油气矿区及周边地区</w:t>
      </w:r>
      <w:r>
        <w:t>等生态修复类新能源项目</w:t>
      </w:r>
      <w:r>
        <w:rPr>
          <w:rFonts w:hint="eastAsia"/>
        </w:rPr>
        <w:t>。</w:t>
      </w:r>
      <w:r>
        <w:t>实践证明新能源发电可以与生态修复、当地特色产</w:t>
      </w:r>
      <w:r>
        <w:t>业有机融合，在修复成本和综合效益双控下，实现土地高效综合利用和生态脆弱区环境改善。这些实践和经验也将成为今后大规模推广生态修复类新能源项目的坚实基础。</w:t>
      </w:r>
    </w:p>
    <w:p w:rsidR="005011A4" w:rsidRDefault="005226AA">
      <w:r>
        <w:t>同时，我们也要看到生态修复类新能源项目</w:t>
      </w:r>
      <w:r>
        <w:rPr>
          <w:rFonts w:hint="eastAsia"/>
        </w:rPr>
        <w:t>仍处于探索过程中</w:t>
      </w:r>
      <w:r>
        <w:t>，在科学研究、标准规范、政策支持等方面距离大规模推广还存在</w:t>
      </w:r>
      <w:r>
        <w:rPr>
          <w:rFonts w:hint="eastAsia"/>
        </w:rPr>
        <w:t>一定</w:t>
      </w:r>
      <w:r>
        <w:t>差距。一是关于新能源对生态环境影响的科学研究还不够、认识不统一，特别是对光伏电站天然阻风、遮荫、降温、增湿功能的认识和评估还不够，</w:t>
      </w:r>
      <w:r>
        <w:rPr>
          <w:rFonts w:hint="eastAsia"/>
        </w:rPr>
        <w:t>也缺乏</w:t>
      </w:r>
      <w:r>
        <w:t>各类生态修复技术的研究，导致生态修复类新能源项目难以持续发展；二是缺乏科学统一的标准规范，包括生态修复类新能</w:t>
      </w:r>
      <w:r>
        <w:t>源项目本体工程的设计、建设、运维规范和生态修复技术评估、设计与施工标准等，制约了新能源与生态环境协同发展。为此，《实施方案》明确提出</w:t>
      </w:r>
      <w:r>
        <w:rPr>
          <w:rFonts w:ascii="方正仿宋_GBK" w:hAnsi="方正仿宋_GBK" w:hint="eastAsia"/>
        </w:rPr>
        <w:t>“</w:t>
      </w:r>
      <w:r>
        <w:t>科学评价新能源项目生态环境影响和效益，研究出台光伏治沙等生态修复类新能源项目设计、施工、运维等标准规范</w:t>
      </w:r>
      <w:r>
        <w:rPr>
          <w:rFonts w:ascii="方正仿宋_GBK" w:hAnsi="方正仿宋_GBK" w:hint="eastAsia"/>
        </w:rPr>
        <w:t>”</w:t>
      </w:r>
      <w:r>
        <w:t>，为加快解决上述问题提供政策支持。</w:t>
      </w:r>
    </w:p>
    <w:p w:rsidR="005011A4" w:rsidRDefault="005226AA">
      <w:r>
        <w:t>为继续加大生态修复类新能源项目支持力度，未来将在以下几方面采取措施：一是加强新能源生态环境影响、生态修复监测和评估研究工作；二是研究出台生态修复类新能源项目本体工程和生态修复工程设计、施工、运维标准，分类加强技术规范指导；三是积极探索同石</w:t>
      </w:r>
      <w:r>
        <w:t>漠化、荒漠化、采煤沉陷区</w:t>
      </w:r>
      <w:r>
        <w:rPr>
          <w:rFonts w:hint="eastAsia"/>
        </w:rPr>
        <w:t>、油气矿区及周边地区</w:t>
      </w:r>
      <w:r>
        <w:t>等各</w:t>
      </w:r>
      <w:r>
        <w:lastRenderedPageBreak/>
        <w:t>类生态脆弱区土地修复结合的新能源开发模式，通过不同经济植物合理配置，开展具有生态修复效益的新能源项目建设。同时，推动地方在生态修复类新能源项目发展初期给予政策支持，调动各类市场主体的积极性。争取通过一段时间的再实践再认识，使我国生态修复类新能源项目发展再上新台阶，发挥好这类项目的生态效益、经济效益和社会效益，全力推动新时代新能源高质量发展。</w:t>
      </w:r>
    </w:p>
    <w:p w:rsidR="005011A4" w:rsidRDefault="005011A4"/>
    <w:tbl>
      <w:tblPr>
        <w:tblW w:w="85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34"/>
      </w:tblGrid>
      <w:tr w:rsidR="005011A4">
        <w:tc>
          <w:tcPr>
            <w:tcW w:w="8534" w:type="dxa"/>
          </w:tcPr>
          <w:p w:rsidR="005011A4" w:rsidRDefault="005226AA">
            <w:pPr>
              <w:pStyle w:val="af4"/>
              <w:ind w:firstLineChars="0" w:firstLine="0"/>
              <w:rPr>
                <w:sz w:val="30"/>
                <w:szCs w:val="30"/>
              </w:rPr>
            </w:pPr>
            <w:r>
              <w:rPr>
                <w:sz w:val="30"/>
                <w:szCs w:val="30"/>
              </w:rPr>
              <w:t>案例</w:t>
            </w:r>
            <w:r>
              <w:rPr>
                <w:sz w:val="30"/>
                <w:szCs w:val="30"/>
              </w:rPr>
              <w:t>6-</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1</w:t>
            </w:r>
            <w:r>
              <w:rPr>
                <w:sz w:val="30"/>
                <w:szCs w:val="30"/>
              </w:rPr>
              <w:fldChar w:fldCharType="end"/>
            </w:r>
            <w:r>
              <w:rPr>
                <w:rFonts w:hint="eastAsia"/>
                <w:sz w:val="30"/>
                <w:szCs w:val="30"/>
              </w:rPr>
              <w:t xml:space="preserve">  </w:t>
            </w:r>
            <w:r>
              <w:rPr>
                <w:rFonts w:ascii="方正仿宋_GBK" w:hAnsi="方正仿宋_GBK" w:hint="eastAsia"/>
                <w:sz w:val="30"/>
                <w:szCs w:val="30"/>
              </w:rPr>
              <w:t>“</w:t>
            </w:r>
            <w:r>
              <w:rPr>
                <w:sz w:val="30"/>
                <w:szCs w:val="30"/>
              </w:rPr>
              <w:t>借光</w:t>
            </w:r>
            <w:r>
              <w:rPr>
                <w:rFonts w:ascii="方正仿宋_GBK" w:hAnsi="方正仿宋_GBK" w:hint="eastAsia"/>
                <w:sz w:val="30"/>
                <w:szCs w:val="30"/>
              </w:rPr>
              <w:t>”</w:t>
            </w:r>
            <w:r>
              <w:rPr>
                <w:sz w:val="30"/>
                <w:szCs w:val="30"/>
              </w:rPr>
              <w:t>治沙让生态修复释放新动力</w:t>
            </w:r>
          </w:p>
        </w:tc>
      </w:tr>
      <w:tr w:rsidR="005011A4">
        <w:tc>
          <w:tcPr>
            <w:tcW w:w="8534" w:type="dxa"/>
          </w:tcPr>
          <w:p w:rsidR="005011A4" w:rsidRDefault="005226AA">
            <w:pPr>
              <w:adjustRightInd w:val="0"/>
              <w:snapToGrid w:val="0"/>
              <w:spacing w:line="520" w:lineRule="exact"/>
              <w:ind w:firstLine="560"/>
              <w:textAlignment w:val="auto"/>
              <w:rPr>
                <w:sz w:val="28"/>
                <w:szCs w:val="28"/>
              </w:rPr>
            </w:pPr>
            <w:r>
              <w:rPr>
                <w:sz w:val="28"/>
                <w:szCs w:val="28"/>
              </w:rPr>
              <w:t>我国已建成一批光</w:t>
            </w:r>
            <w:r>
              <w:rPr>
                <w:sz w:val="28"/>
                <w:szCs w:val="28"/>
              </w:rPr>
              <w:t>伏发电同沙漠治理相结合的新能源项目，不仅发挥了较好的生态修复效益，还积累了一定的实践经验。三峡达拉特光伏发电项目位于内蒙古鄂尔多斯市达拉特旗昭君镇库布齐沙漠，建设容量</w:t>
            </w:r>
            <w:r>
              <w:rPr>
                <w:sz w:val="28"/>
                <w:szCs w:val="28"/>
              </w:rPr>
              <w:t>10</w:t>
            </w:r>
            <w:r>
              <w:rPr>
                <w:sz w:val="28"/>
                <w:szCs w:val="28"/>
              </w:rPr>
              <w:t>万千瓦，占地面积</w:t>
            </w:r>
            <w:r>
              <w:rPr>
                <w:sz w:val="28"/>
                <w:szCs w:val="28"/>
              </w:rPr>
              <w:t>4000</w:t>
            </w:r>
            <w:r>
              <w:rPr>
                <w:sz w:val="28"/>
                <w:szCs w:val="28"/>
              </w:rPr>
              <w:t>亩，</w:t>
            </w:r>
            <w:r>
              <w:rPr>
                <w:sz w:val="28"/>
                <w:szCs w:val="28"/>
              </w:rPr>
              <w:t>2020</w:t>
            </w:r>
            <w:r>
              <w:rPr>
                <w:sz w:val="28"/>
                <w:szCs w:val="28"/>
              </w:rPr>
              <w:t>年</w:t>
            </w:r>
            <w:r>
              <w:rPr>
                <w:sz w:val="28"/>
                <w:szCs w:val="28"/>
              </w:rPr>
              <w:t>3</w:t>
            </w:r>
            <w:r>
              <w:rPr>
                <w:sz w:val="28"/>
                <w:szCs w:val="28"/>
              </w:rPr>
              <w:t>月开工</w:t>
            </w:r>
            <w:r>
              <w:rPr>
                <w:rFonts w:hint="eastAsia"/>
                <w:sz w:val="28"/>
                <w:szCs w:val="28"/>
              </w:rPr>
              <w:t>，</w:t>
            </w:r>
            <w:r>
              <w:rPr>
                <w:sz w:val="28"/>
                <w:szCs w:val="28"/>
              </w:rPr>
              <w:t>6</w:t>
            </w:r>
            <w:r>
              <w:rPr>
                <w:sz w:val="28"/>
                <w:szCs w:val="28"/>
              </w:rPr>
              <w:t>月建成并网，采用</w:t>
            </w:r>
            <w:r>
              <w:rPr>
                <w:rFonts w:ascii="方正仿宋_GBK" w:hAnsi="方正仿宋_GBK" w:hint="eastAsia"/>
                <w:sz w:val="28"/>
                <w:szCs w:val="28"/>
              </w:rPr>
              <w:t>“</w:t>
            </w:r>
            <w:r>
              <w:rPr>
                <w:sz w:val="28"/>
                <w:szCs w:val="28"/>
              </w:rPr>
              <w:t>光伏</w:t>
            </w:r>
            <w:r>
              <w:rPr>
                <w:sz w:val="28"/>
                <w:szCs w:val="28"/>
              </w:rPr>
              <w:t>+</w:t>
            </w:r>
            <w:r>
              <w:rPr>
                <w:sz w:val="28"/>
                <w:szCs w:val="28"/>
              </w:rPr>
              <w:t>沙漠治理</w:t>
            </w:r>
            <w:r>
              <w:rPr>
                <w:sz w:val="28"/>
                <w:szCs w:val="28"/>
              </w:rPr>
              <w:t>+</w:t>
            </w:r>
            <w:r>
              <w:rPr>
                <w:sz w:val="28"/>
                <w:szCs w:val="28"/>
              </w:rPr>
              <w:t>农牧业</w:t>
            </w:r>
            <w:r>
              <w:rPr>
                <w:rFonts w:ascii="方正仿宋_GBK" w:hAnsi="方正仿宋_GBK" w:hint="eastAsia"/>
                <w:sz w:val="28"/>
                <w:szCs w:val="28"/>
              </w:rPr>
              <w:t>”</w:t>
            </w:r>
            <w:r>
              <w:rPr>
                <w:sz w:val="28"/>
                <w:szCs w:val="28"/>
              </w:rPr>
              <w:t>模式，走出了一条新能源发电、生态修复、种植养殖、富民利民的科学共赢治沙之路。</w:t>
            </w:r>
          </w:p>
          <w:p w:rsidR="005011A4" w:rsidRDefault="005226AA">
            <w:pPr>
              <w:adjustRightInd w:val="0"/>
              <w:snapToGrid w:val="0"/>
              <w:spacing w:line="520" w:lineRule="exact"/>
              <w:ind w:firstLine="560"/>
              <w:textAlignment w:val="auto"/>
              <w:rPr>
                <w:sz w:val="28"/>
                <w:szCs w:val="28"/>
              </w:rPr>
            </w:pPr>
            <w:r>
              <w:rPr>
                <w:sz w:val="28"/>
                <w:szCs w:val="28"/>
              </w:rPr>
              <w:t>项目地处沙漠地带</w:t>
            </w:r>
            <w:r>
              <w:rPr>
                <w:rFonts w:hint="eastAsia"/>
                <w:sz w:val="28"/>
                <w:szCs w:val="28"/>
              </w:rPr>
              <w:t>，</w:t>
            </w:r>
            <w:r>
              <w:rPr>
                <w:sz w:val="28"/>
                <w:szCs w:val="28"/>
              </w:rPr>
              <w:t>当地常年有风，考虑这些因素对基础施工、支架安装等的影响，施工前对场区沙地进行了推平处理，并辅以适当的地基碾压增强处理措施；考虑桩基础开挖量小且对原有植物破坏性小，选择钻孔灌注桩方式与地面固定</w:t>
            </w:r>
            <w:r>
              <w:rPr>
                <w:rFonts w:hint="eastAsia"/>
                <w:sz w:val="28"/>
                <w:szCs w:val="28"/>
              </w:rPr>
              <w:t>；</w:t>
            </w:r>
            <w:r>
              <w:rPr>
                <w:sz w:val="28"/>
                <w:szCs w:val="28"/>
              </w:rPr>
              <w:t>支架材料选用优质钢材。治沙方案主要采用了以下措施：一是对项目场区实施工程固沙，建设外围草方格固沙带；二是采用分区分类治理方法，在光伏场区、综合管理站区域种植不同种类的耐旱灌木、草本植物，并实施滴灌、长期养护，构建相对稳定的植物群落结构；三是利用阵列区板间空地种植紫穗槐、杨柴、柠条等经济林，结合集中肉牛养殖消化经济林平茬</w:t>
            </w:r>
            <w:r>
              <w:rPr>
                <w:sz w:val="28"/>
                <w:szCs w:val="28"/>
              </w:rPr>
              <w:t>所产饲料，牛粪有机肥又可以用来改善经济林土壤肥力，提高经济林生长品</w:t>
            </w:r>
            <w:r>
              <w:rPr>
                <w:sz w:val="28"/>
                <w:szCs w:val="28"/>
              </w:rPr>
              <w:lastRenderedPageBreak/>
              <w:t>质。</w:t>
            </w:r>
          </w:p>
          <w:p w:rsidR="005011A4" w:rsidRDefault="005226AA">
            <w:pPr>
              <w:adjustRightInd w:val="0"/>
              <w:snapToGrid w:val="0"/>
              <w:spacing w:line="520" w:lineRule="exact"/>
              <w:ind w:firstLine="560"/>
              <w:textAlignment w:val="auto"/>
              <w:rPr>
                <w:sz w:val="28"/>
                <w:szCs w:val="28"/>
              </w:rPr>
            </w:pPr>
            <w:r>
              <w:rPr>
                <w:sz w:val="28"/>
                <w:szCs w:val="28"/>
              </w:rPr>
              <w:t>项目投运以来累计发电超</w:t>
            </w:r>
            <w:r>
              <w:rPr>
                <w:sz w:val="28"/>
                <w:szCs w:val="28"/>
              </w:rPr>
              <w:t>2</w:t>
            </w:r>
            <w:r>
              <w:rPr>
                <w:sz w:val="28"/>
                <w:szCs w:val="28"/>
              </w:rPr>
              <w:t>亿千瓦时，每年可节约标准煤约</w:t>
            </w:r>
            <w:r>
              <w:rPr>
                <w:sz w:val="28"/>
                <w:szCs w:val="28"/>
              </w:rPr>
              <w:t>5.89</w:t>
            </w:r>
            <w:r>
              <w:rPr>
                <w:sz w:val="28"/>
                <w:szCs w:val="28"/>
              </w:rPr>
              <w:t>万吨。目前，场区植物生长已形成一定规模</w:t>
            </w:r>
            <w:r>
              <w:rPr>
                <w:rFonts w:hint="eastAsia"/>
                <w:sz w:val="28"/>
                <w:szCs w:val="28"/>
              </w:rPr>
              <w:t>，</w:t>
            </w:r>
            <w:r>
              <w:rPr>
                <w:sz w:val="28"/>
                <w:szCs w:val="28"/>
              </w:rPr>
              <w:t>土壤得到改良</w:t>
            </w:r>
            <w:r>
              <w:rPr>
                <w:rFonts w:hint="eastAsia"/>
                <w:sz w:val="28"/>
                <w:szCs w:val="28"/>
              </w:rPr>
              <w:t>，</w:t>
            </w:r>
            <w:r>
              <w:rPr>
                <w:sz w:val="28"/>
                <w:szCs w:val="28"/>
              </w:rPr>
              <w:t>动植物种类逐渐丰富</w:t>
            </w:r>
            <w:r>
              <w:rPr>
                <w:rFonts w:hint="eastAsia"/>
                <w:sz w:val="28"/>
                <w:szCs w:val="28"/>
              </w:rPr>
              <w:t>，</w:t>
            </w:r>
            <w:r>
              <w:rPr>
                <w:sz w:val="28"/>
                <w:szCs w:val="28"/>
              </w:rPr>
              <w:t>风沙天数逐渐减少，区域生态环境持续向着良性循环的方向发展，同时带动了当地农牧业、旅游、运输等产业发展，助力当地群众增收。</w:t>
            </w:r>
          </w:p>
          <w:p w:rsidR="005011A4" w:rsidRDefault="005226AA">
            <w:pPr>
              <w:adjustRightInd w:val="0"/>
              <w:snapToGrid w:val="0"/>
              <w:spacing w:line="240" w:lineRule="auto"/>
              <w:ind w:firstLineChars="0" w:firstLine="0"/>
              <w:textAlignment w:val="auto"/>
              <w:rPr>
                <w:sz w:val="28"/>
                <w:szCs w:val="28"/>
              </w:rPr>
            </w:pPr>
            <w:r>
              <w:rPr>
                <w:noProof/>
                <w:sz w:val="28"/>
                <w:szCs w:val="28"/>
              </w:rPr>
              <w:drawing>
                <wp:inline distT="0" distB="0" distL="0" distR="0">
                  <wp:extent cx="5143500" cy="2720340"/>
                  <wp:effectExtent l="19050" t="0" r="0" b="0"/>
                  <wp:docPr id="13" name="图片 1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256"/>
                          <pic:cNvPicPr>
                            <a:picLocks noChangeAspect="1" noChangeArrowheads="1"/>
                          </pic:cNvPicPr>
                        </pic:nvPicPr>
                        <pic:blipFill>
                          <a:blip r:embed="rId7"/>
                          <a:srcRect t="21735"/>
                          <a:stretch>
                            <a:fillRect/>
                          </a:stretch>
                        </pic:blipFill>
                        <pic:spPr>
                          <a:xfrm>
                            <a:off x="0" y="0"/>
                            <a:ext cx="5143500" cy="2720340"/>
                          </a:xfrm>
                          <a:prstGeom prst="rect">
                            <a:avLst/>
                          </a:prstGeom>
                          <a:noFill/>
                          <a:ln w="9525">
                            <a:noFill/>
                            <a:miter lim="800000"/>
                            <a:headEnd/>
                            <a:tailEnd/>
                          </a:ln>
                        </pic:spPr>
                      </pic:pic>
                    </a:graphicData>
                  </a:graphic>
                </wp:inline>
              </w:drawing>
            </w:r>
          </w:p>
          <w:p w:rsidR="005011A4" w:rsidRDefault="005226AA">
            <w:pPr>
              <w:adjustRightInd w:val="0"/>
              <w:snapToGrid w:val="0"/>
              <w:spacing w:line="240" w:lineRule="auto"/>
              <w:ind w:firstLineChars="0" w:firstLine="0"/>
              <w:jc w:val="center"/>
              <w:textAlignment w:val="auto"/>
              <w:rPr>
                <w:sz w:val="28"/>
                <w:szCs w:val="28"/>
              </w:rPr>
            </w:pPr>
            <w:r>
              <w:rPr>
                <w:sz w:val="28"/>
                <w:szCs w:val="28"/>
              </w:rPr>
              <w:t>图</w:t>
            </w:r>
            <w:r>
              <w:rPr>
                <w:sz w:val="28"/>
                <w:szCs w:val="28"/>
              </w:rPr>
              <w:t xml:space="preserve">6-1  </w:t>
            </w:r>
            <w:r>
              <w:rPr>
                <w:sz w:val="28"/>
                <w:szCs w:val="28"/>
              </w:rPr>
              <w:t>沙漠原貌</w:t>
            </w:r>
          </w:p>
          <w:p w:rsidR="005011A4" w:rsidRDefault="005226AA">
            <w:pPr>
              <w:adjustRightInd w:val="0"/>
              <w:snapToGrid w:val="0"/>
              <w:spacing w:line="240" w:lineRule="auto"/>
              <w:ind w:firstLineChars="0" w:firstLine="0"/>
              <w:textAlignment w:val="auto"/>
              <w:rPr>
                <w:sz w:val="28"/>
                <w:szCs w:val="28"/>
              </w:rPr>
            </w:pPr>
            <w:r>
              <w:rPr>
                <w:noProof/>
                <w:sz w:val="28"/>
                <w:szCs w:val="28"/>
              </w:rPr>
              <w:drawing>
                <wp:inline distT="0" distB="0" distL="0" distR="0">
                  <wp:extent cx="5158740" cy="2339340"/>
                  <wp:effectExtent l="19050" t="0" r="381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8"/>
                          <a:srcRect/>
                          <a:stretch>
                            <a:fillRect/>
                          </a:stretch>
                        </pic:blipFill>
                        <pic:spPr>
                          <a:xfrm>
                            <a:off x="0" y="0"/>
                            <a:ext cx="5158740" cy="2339340"/>
                          </a:xfrm>
                          <a:prstGeom prst="rect">
                            <a:avLst/>
                          </a:prstGeom>
                          <a:noFill/>
                          <a:ln w="9525">
                            <a:noFill/>
                            <a:miter lim="800000"/>
                            <a:headEnd/>
                            <a:tailEnd/>
                          </a:ln>
                        </pic:spPr>
                      </pic:pic>
                    </a:graphicData>
                  </a:graphic>
                </wp:inline>
              </w:drawing>
            </w:r>
          </w:p>
          <w:p w:rsidR="005011A4" w:rsidRDefault="005226AA">
            <w:pPr>
              <w:adjustRightInd w:val="0"/>
              <w:snapToGrid w:val="0"/>
              <w:spacing w:line="240" w:lineRule="auto"/>
              <w:ind w:firstLineChars="0" w:firstLine="0"/>
              <w:jc w:val="center"/>
              <w:textAlignment w:val="auto"/>
              <w:rPr>
                <w:sz w:val="28"/>
                <w:szCs w:val="28"/>
              </w:rPr>
            </w:pPr>
            <w:r>
              <w:rPr>
                <w:sz w:val="28"/>
                <w:szCs w:val="28"/>
              </w:rPr>
              <w:t>图</w:t>
            </w:r>
            <w:r>
              <w:rPr>
                <w:sz w:val="28"/>
                <w:szCs w:val="28"/>
              </w:rPr>
              <w:t xml:space="preserve">6-2  </w:t>
            </w:r>
            <w:r>
              <w:rPr>
                <w:sz w:val="28"/>
                <w:szCs w:val="28"/>
              </w:rPr>
              <w:t>施工完毕后</w:t>
            </w:r>
          </w:p>
          <w:p w:rsidR="005011A4" w:rsidRDefault="005226AA">
            <w:pPr>
              <w:adjustRightInd w:val="0"/>
              <w:snapToGrid w:val="0"/>
              <w:spacing w:line="240" w:lineRule="auto"/>
              <w:ind w:firstLineChars="0" w:firstLine="0"/>
              <w:textAlignment w:val="auto"/>
              <w:rPr>
                <w:sz w:val="28"/>
                <w:szCs w:val="28"/>
              </w:rPr>
            </w:pPr>
            <w:r>
              <w:rPr>
                <w:noProof/>
                <w:sz w:val="28"/>
                <w:szCs w:val="28"/>
              </w:rPr>
              <w:lastRenderedPageBreak/>
              <w:drawing>
                <wp:inline distT="0" distB="0" distL="0" distR="0">
                  <wp:extent cx="5265420" cy="2880360"/>
                  <wp:effectExtent l="19050" t="0" r="0" b="0"/>
                  <wp:docPr id="1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
                          <pic:cNvPicPr>
                            <a:picLocks noChangeAspect="1" noChangeArrowheads="1"/>
                          </pic:cNvPicPr>
                        </pic:nvPicPr>
                        <pic:blipFill>
                          <a:blip r:embed="rId9" cstate="print"/>
                          <a:srcRect/>
                          <a:stretch>
                            <a:fillRect/>
                          </a:stretch>
                        </pic:blipFill>
                        <pic:spPr>
                          <a:xfrm>
                            <a:off x="0" y="0"/>
                            <a:ext cx="5265420" cy="2880360"/>
                          </a:xfrm>
                          <a:prstGeom prst="rect">
                            <a:avLst/>
                          </a:prstGeom>
                          <a:noFill/>
                          <a:ln w="9525">
                            <a:noFill/>
                            <a:miter lim="800000"/>
                            <a:headEnd/>
                            <a:tailEnd/>
                          </a:ln>
                        </pic:spPr>
                      </pic:pic>
                    </a:graphicData>
                  </a:graphic>
                </wp:inline>
              </w:drawing>
            </w:r>
          </w:p>
          <w:p w:rsidR="005011A4" w:rsidRDefault="005226AA">
            <w:pPr>
              <w:adjustRightInd w:val="0"/>
              <w:snapToGrid w:val="0"/>
              <w:spacing w:line="240" w:lineRule="auto"/>
              <w:ind w:firstLineChars="0" w:firstLine="0"/>
              <w:jc w:val="center"/>
              <w:textAlignment w:val="auto"/>
            </w:pPr>
            <w:r>
              <w:rPr>
                <w:sz w:val="28"/>
                <w:szCs w:val="28"/>
              </w:rPr>
              <w:t>图</w:t>
            </w:r>
            <w:r>
              <w:rPr>
                <w:sz w:val="28"/>
                <w:szCs w:val="28"/>
              </w:rPr>
              <w:t xml:space="preserve">6-3  </w:t>
            </w:r>
            <w:r>
              <w:rPr>
                <w:sz w:val="28"/>
                <w:szCs w:val="28"/>
              </w:rPr>
              <w:t>植被恢复中</w:t>
            </w:r>
          </w:p>
        </w:tc>
      </w:tr>
    </w:tbl>
    <w:p w:rsidR="005011A4" w:rsidRDefault="005011A4"/>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31"/>
      </w:tblGrid>
      <w:tr w:rsidR="005011A4">
        <w:tc>
          <w:tcPr>
            <w:tcW w:w="8931" w:type="dxa"/>
          </w:tcPr>
          <w:p w:rsidR="005011A4" w:rsidRDefault="005226AA">
            <w:pPr>
              <w:pStyle w:val="af4"/>
              <w:ind w:firstLineChars="0" w:firstLine="0"/>
              <w:rPr>
                <w:sz w:val="30"/>
                <w:szCs w:val="30"/>
              </w:rPr>
            </w:pPr>
            <w:r>
              <w:rPr>
                <w:sz w:val="30"/>
                <w:szCs w:val="30"/>
              </w:rPr>
              <w:t>案例</w:t>
            </w:r>
            <w:r>
              <w:rPr>
                <w:rFonts w:hint="eastAsia"/>
                <w:sz w:val="30"/>
                <w:szCs w:val="30"/>
              </w:rPr>
              <w:t>6</w:t>
            </w:r>
            <w:r>
              <w:rPr>
                <w:sz w:val="30"/>
                <w:szCs w:val="30"/>
              </w:rPr>
              <w:t>-</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2</w:t>
            </w:r>
            <w:r>
              <w:rPr>
                <w:sz w:val="30"/>
                <w:szCs w:val="30"/>
              </w:rPr>
              <w:fldChar w:fldCharType="end"/>
            </w:r>
            <w:r>
              <w:rPr>
                <w:rFonts w:hint="eastAsia"/>
                <w:sz w:val="30"/>
                <w:szCs w:val="30"/>
              </w:rPr>
              <w:t xml:space="preserve">  </w:t>
            </w:r>
            <w:r>
              <w:rPr>
                <w:rFonts w:hint="eastAsia"/>
                <w:sz w:val="30"/>
                <w:szCs w:val="30"/>
              </w:rPr>
              <w:t>平地起光伏荒滩变绿洲</w:t>
            </w:r>
          </w:p>
        </w:tc>
      </w:tr>
      <w:tr w:rsidR="005011A4">
        <w:tc>
          <w:tcPr>
            <w:tcW w:w="8931" w:type="dxa"/>
          </w:tcPr>
          <w:p w:rsidR="005011A4" w:rsidRDefault="005226AA">
            <w:pPr>
              <w:adjustRightInd w:val="0"/>
              <w:snapToGrid w:val="0"/>
              <w:spacing w:line="520" w:lineRule="exact"/>
              <w:ind w:firstLine="560"/>
              <w:textAlignment w:val="auto"/>
              <w:rPr>
                <w:sz w:val="28"/>
                <w:szCs w:val="28"/>
              </w:rPr>
            </w:pPr>
            <w:r>
              <w:rPr>
                <w:rFonts w:hint="eastAsia"/>
                <w:sz w:val="28"/>
                <w:szCs w:val="28"/>
              </w:rPr>
              <w:t>青海省共和县的塔拉滩平均海拔</w:t>
            </w:r>
            <w:r>
              <w:rPr>
                <w:rFonts w:hint="eastAsia"/>
                <w:sz w:val="28"/>
                <w:szCs w:val="28"/>
              </w:rPr>
              <w:t>2900</w:t>
            </w:r>
            <w:r>
              <w:rPr>
                <w:rFonts w:hint="eastAsia"/>
                <w:sz w:val="28"/>
                <w:szCs w:val="28"/>
              </w:rPr>
              <w:t>米，年均降水量</w:t>
            </w:r>
            <w:r>
              <w:rPr>
                <w:rFonts w:hint="eastAsia"/>
                <w:sz w:val="28"/>
                <w:szCs w:val="28"/>
              </w:rPr>
              <w:t>300</w:t>
            </w:r>
            <w:r>
              <w:rPr>
                <w:rFonts w:hint="eastAsia"/>
                <w:sz w:val="28"/>
                <w:szCs w:val="28"/>
              </w:rPr>
              <w:t>毫米，蒸发量却高达</w:t>
            </w:r>
            <w:r>
              <w:rPr>
                <w:rFonts w:hint="eastAsia"/>
                <w:sz w:val="28"/>
                <w:szCs w:val="28"/>
              </w:rPr>
              <w:t>1500</w:t>
            </w:r>
            <w:r>
              <w:rPr>
                <w:rFonts w:hint="eastAsia"/>
                <w:sz w:val="28"/>
                <w:szCs w:val="28"/>
              </w:rPr>
              <w:t>毫米。由于干旱少雨和长期超载放牧，原有的牧场成了一片戈壁沙丘。</w:t>
            </w:r>
            <w:r>
              <w:rPr>
                <w:rFonts w:hint="eastAsia"/>
                <w:sz w:val="28"/>
                <w:szCs w:val="28"/>
              </w:rPr>
              <w:t>2011</w:t>
            </w:r>
            <w:r>
              <w:rPr>
                <w:rFonts w:hint="eastAsia"/>
                <w:sz w:val="28"/>
                <w:szCs w:val="28"/>
              </w:rPr>
              <w:t>年，塔拉滩上迎来首批入驻的国家电投集团光伏建设者，排排光伏组件开始在塔拉滩落户。太阳能电池板的铺设减弱了地表蒸发量，清洗光伏板的水流提高了土壤含水量，辅以牧草种植等方式提高植被覆盖率。观测研究显示：光伏电站建设对区域土壤水分条件的改善和植被恢复产生了良好影响，场区平均风速降低</w:t>
            </w:r>
            <w:r>
              <w:rPr>
                <w:rFonts w:hint="eastAsia"/>
                <w:sz w:val="28"/>
                <w:szCs w:val="28"/>
              </w:rPr>
              <w:t>41.2%</w:t>
            </w:r>
            <w:r>
              <w:rPr>
                <w:rFonts w:hint="eastAsia"/>
                <w:sz w:val="28"/>
                <w:szCs w:val="28"/>
              </w:rPr>
              <w:t>，空气温度日均减少</w:t>
            </w:r>
            <w:r>
              <w:rPr>
                <w:rFonts w:hint="eastAsia"/>
                <w:sz w:val="28"/>
                <w:szCs w:val="28"/>
              </w:rPr>
              <w:t>0.5</w:t>
            </w:r>
            <w:r>
              <w:rPr>
                <w:rFonts w:hint="eastAsia"/>
                <w:sz w:val="28"/>
                <w:szCs w:val="28"/>
              </w:rPr>
              <w:t>℃，空气湿度日均增湿</w:t>
            </w:r>
            <w:r>
              <w:rPr>
                <w:rFonts w:hint="eastAsia"/>
                <w:sz w:val="28"/>
                <w:szCs w:val="28"/>
              </w:rPr>
              <w:t>2.1%</w:t>
            </w:r>
            <w:r>
              <w:rPr>
                <w:rFonts w:hint="eastAsia"/>
                <w:sz w:val="28"/>
                <w:szCs w:val="28"/>
              </w:rPr>
              <w:t>，</w:t>
            </w:r>
            <w:r>
              <w:rPr>
                <w:rFonts w:hint="eastAsia"/>
                <w:sz w:val="28"/>
                <w:szCs w:val="28"/>
              </w:rPr>
              <w:t>20</w:t>
            </w:r>
            <w:r>
              <w:rPr>
                <w:rFonts w:hint="eastAsia"/>
                <w:sz w:val="28"/>
                <w:szCs w:val="28"/>
              </w:rPr>
              <w:t>厘米深度土壤增湿</w:t>
            </w:r>
            <w:r>
              <w:rPr>
                <w:rFonts w:hint="eastAsia"/>
                <w:sz w:val="28"/>
                <w:szCs w:val="28"/>
              </w:rPr>
              <w:t>32%</w:t>
            </w:r>
            <w:r>
              <w:rPr>
                <w:rFonts w:hint="eastAsia"/>
                <w:sz w:val="28"/>
                <w:szCs w:val="28"/>
              </w:rPr>
              <w:t>，形成了适宜草类植物生长的良好环境。</w:t>
            </w:r>
          </w:p>
          <w:p w:rsidR="005011A4" w:rsidRDefault="005226AA">
            <w:pPr>
              <w:adjustRightInd w:val="0"/>
              <w:snapToGrid w:val="0"/>
              <w:spacing w:line="520" w:lineRule="exact"/>
              <w:ind w:firstLine="560"/>
              <w:textAlignment w:val="auto"/>
              <w:rPr>
                <w:sz w:val="28"/>
                <w:szCs w:val="28"/>
              </w:rPr>
            </w:pPr>
            <w:r>
              <w:rPr>
                <w:rFonts w:hint="eastAsia"/>
                <w:sz w:val="28"/>
                <w:szCs w:val="28"/>
              </w:rPr>
              <w:t>国家电投集团通过与当地政府签订园区放牧协议，免费开放光伏园区草场供农牧民放牧，并将光伏电池板支架离地高度抬升至</w:t>
            </w:r>
            <w:r>
              <w:rPr>
                <w:rFonts w:hint="eastAsia"/>
                <w:sz w:val="28"/>
                <w:szCs w:val="28"/>
              </w:rPr>
              <w:t>1.5</w:t>
            </w:r>
            <w:r>
              <w:rPr>
                <w:rFonts w:hint="eastAsia"/>
                <w:sz w:val="28"/>
                <w:szCs w:val="28"/>
              </w:rPr>
              <w:t>米，加宽光伏电池板间距，为羊群穿行开辟了</w:t>
            </w:r>
            <w:r>
              <w:rPr>
                <w:rFonts w:ascii="方正仿宋_GBK" w:hAnsi="方正仿宋_GBK" w:hint="eastAsia"/>
                <w:sz w:val="28"/>
                <w:szCs w:val="28"/>
              </w:rPr>
              <w:t>“</w:t>
            </w:r>
            <w:r>
              <w:rPr>
                <w:rFonts w:hint="eastAsia"/>
                <w:sz w:val="28"/>
                <w:szCs w:val="28"/>
              </w:rPr>
              <w:t>专用通道</w:t>
            </w:r>
            <w:r>
              <w:rPr>
                <w:rFonts w:ascii="方正仿宋_GBK" w:hAnsi="方正仿宋_GBK" w:hint="eastAsia"/>
                <w:sz w:val="28"/>
                <w:szCs w:val="28"/>
              </w:rPr>
              <w:t>”</w:t>
            </w:r>
            <w:r>
              <w:rPr>
                <w:rFonts w:hint="eastAsia"/>
                <w:sz w:val="28"/>
                <w:szCs w:val="28"/>
              </w:rPr>
              <w:t>，进一步提高了电站下草场的利用效率，降低了养殖成本。经过几年的发展，塔拉滩从风</w:t>
            </w:r>
            <w:r>
              <w:rPr>
                <w:rFonts w:hint="eastAsia"/>
                <w:sz w:val="28"/>
                <w:szCs w:val="28"/>
              </w:rPr>
              <w:lastRenderedPageBreak/>
              <w:t>沙肆虐的戈壁滩变成了生机勃勃的人工牧场和科技感满满的</w:t>
            </w:r>
            <w:r>
              <w:rPr>
                <w:rFonts w:ascii="方正仿宋_GBK" w:hAnsi="方正仿宋_GBK" w:hint="eastAsia"/>
                <w:sz w:val="28"/>
                <w:szCs w:val="28"/>
              </w:rPr>
              <w:t>“</w:t>
            </w:r>
            <w:r>
              <w:rPr>
                <w:rFonts w:hint="eastAsia"/>
                <w:sz w:val="28"/>
                <w:szCs w:val="28"/>
              </w:rPr>
              <w:t>蓝色光伏海洋</w:t>
            </w:r>
            <w:r>
              <w:rPr>
                <w:rFonts w:ascii="方正仿宋_GBK" w:hAnsi="方正仿宋_GBK" w:hint="eastAsia"/>
                <w:sz w:val="28"/>
                <w:szCs w:val="28"/>
              </w:rPr>
              <w:t>”</w:t>
            </w:r>
            <w:r>
              <w:rPr>
                <w:rFonts w:hint="eastAsia"/>
                <w:sz w:val="28"/>
                <w:szCs w:val="28"/>
              </w:rPr>
              <w:t>。依托牧草丰美的光伏产业园区，当地高原特色养殖产业蓬勃发展。截至目前，平均每年有近</w:t>
            </w:r>
            <w:r>
              <w:rPr>
                <w:rFonts w:hint="eastAsia"/>
                <w:sz w:val="28"/>
                <w:szCs w:val="28"/>
              </w:rPr>
              <w:t>5000</w:t>
            </w:r>
            <w:r>
              <w:rPr>
                <w:rFonts w:hint="eastAsia"/>
                <w:sz w:val="28"/>
                <w:szCs w:val="28"/>
              </w:rPr>
              <w:t>只羊进入园区放牧，带动当地实现年均经济增收近</w:t>
            </w:r>
            <w:r>
              <w:rPr>
                <w:rFonts w:hint="eastAsia"/>
                <w:sz w:val="28"/>
                <w:szCs w:val="28"/>
              </w:rPr>
              <w:t>140</w:t>
            </w:r>
            <w:r>
              <w:rPr>
                <w:rFonts w:hint="eastAsia"/>
                <w:sz w:val="28"/>
                <w:szCs w:val="28"/>
              </w:rPr>
              <w:t>万元。板上发电</w:t>
            </w:r>
            <w:r>
              <w:rPr>
                <w:rFonts w:hint="eastAsia"/>
                <w:sz w:val="28"/>
                <w:szCs w:val="28"/>
              </w:rPr>
              <w:t>、板下牧羊，现代科技与传统自然和谐共生的巨幅画卷在青藏高原铺陈开来。</w:t>
            </w:r>
            <w:r>
              <w:rPr>
                <w:rFonts w:ascii="方正仿宋_GBK" w:hAnsi="方正仿宋_GBK" w:hint="eastAsia"/>
                <w:sz w:val="28"/>
                <w:szCs w:val="28"/>
              </w:rPr>
              <w:t>“</w:t>
            </w:r>
            <w:r>
              <w:rPr>
                <w:rFonts w:hint="eastAsia"/>
                <w:sz w:val="28"/>
                <w:szCs w:val="28"/>
              </w:rPr>
              <w:t>光伏羊</w:t>
            </w:r>
            <w:r>
              <w:rPr>
                <w:rFonts w:ascii="方正仿宋_GBK" w:hAnsi="方正仿宋_GBK" w:hint="eastAsia"/>
                <w:sz w:val="28"/>
                <w:szCs w:val="28"/>
              </w:rPr>
              <w:t>”</w:t>
            </w:r>
            <w:r>
              <w:rPr>
                <w:rFonts w:hint="eastAsia"/>
                <w:sz w:val="28"/>
                <w:szCs w:val="28"/>
              </w:rPr>
              <w:t>也成为了青海的一个亮丽的名片。</w:t>
            </w:r>
          </w:p>
          <w:p w:rsidR="005011A4" w:rsidRDefault="005226AA">
            <w:pPr>
              <w:adjustRightInd w:val="0"/>
              <w:snapToGrid w:val="0"/>
              <w:spacing w:line="240" w:lineRule="auto"/>
              <w:ind w:firstLineChars="0" w:firstLine="0"/>
              <w:jc w:val="center"/>
              <w:textAlignment w:val="auto"/>
            </w:pPr>
            <w:r>
              <w:rPr>
                <w:noProof/>
              </w:rPr>
              <w:drawing>
                <wp:inline distT="0" distB="0" distL="0" distR="0">
                  <wp:extent cx="5021580" cy="2827020"/>
                  <wp:effectExtent l="19050" t="0" r="7620" b="0"/>
                  <wp:docPr id="1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descr="IMG_256"/>
                          <pic:cNvPicPr>
                            <a:picLocks noChangeAspect="1" noChangeArrowheads="1"/>
                          </pic:cNvPicPr>
                        </pic:nvPicPr>
                        <pic:blipFill>
                          <a:blip r:embed="rId10"/>
                          <a:srcRect/>
                          <a:stretch>
                            <a:fillRect/>
                          </a:stretch>
                        </pic:blipFill>
                        <pic:spPr>
                          <a:xfrm>
                            <a:off x="0" y="0"/>
                            <a:ext cx="5021580" cy="2827020"/>
                          </a:xfrm>
                          <a:prstGeom prst="rect">
                            <a:avLst/>
                          </a:prstGeom>
                          <a:noFill/>
                          <a:ln w="9525">
                            <a:noFill/>
                            <a:miter lim="800000"/>
                            <a:headEnd/>
                            <a:tailEnd/>
                          </a:ln>
                        </pic:spPr>
                      </pic:pic>
                    </a:graphicData>
                  </a:graphic>
                </wp:inline>
              </w:drawing>
            </w:r>
          </w:p>
          <w:p w:rsidR="005011A4" w:rsidRDefault="005226AA">
            <w:pPr>
              <w:adjustRightInd w:val="0"/>
              <w:snapToGrid w:val="0"/>
              <w:spacing w:line="240" w:lineRule="auto"/>
              <w:ind w:firstLineChars="0" w:firstLine="0"/>
              <w:jc w:val="center"/>
              <w:textAlignment w:val="auto"/>
            </w:pPr>
            <w:r>
              <w:rPr>
                <w:rFonts w:hint="eastAsia"/>
              </w:rPr>
              <w:t>图</w:t>
            </w:r>
            <w:r>
              <w:rPr>
                <w:rFonts w:hint="eastAsia"/>
              </w:rPr>
              <w:t>6</w:t>
            </w:r>
            <w:r>
              <w:t>-</w:t>
            </w:r>
            <w:r>
              <w:rPr>
                <w:rFonts w:hint="eastAsia"/>
              </w:rPr>
              <w:t xml:space="preserve">4  </w:t>
            </w:r>
            <w:r>
              <w:rPr>
                <w:rFonts w:hint="eastAsia"/>
              </w:rPr>
              <w:t>建设前塔拉滩地貌</w:t>
            </w:r>
          </w:p>
          <w:p w:rsidR="005011A4" w:rsidRDefault="005226AA">
            <w:pPr>
              <w:pStyle w:val="ac"/>
              <w:spacing w:line="240" w:lineRule="auto"/>
              <w:ind w:firstLineChars="0" w:firstLine="0"/>
              <w:jc w:val="center"/>
              <w:rPr>
                <w:rFonts w:ascii="Times New Roman" w:hAnsi="Times New Roman"/>
              </w:rPr>
            </w:pPr>
            <w:r>
              <w:rPr>
                <w:rFonts w:ascii="Times New Roman" w:hAnsi="Times New Roman"/>
                <w:noProof/>
              </w:rPr>
              <w:drawing>
                <wp:inline distT="0" distB="0" distL="0" distR="0">
                  <wp:extent cx="5090160" cy="2674620"/>
                  <wp:effectExtent l="19050" t="0" r="0" b="0"/>
                  <wp:docPr id="17" name="图片 2" descr="éæµ·æ¹ï¼å¯åçè½æºï¼ç»¿è²ç§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descr="éæµ·æ¹ï¼å¯åçè½æºï¼ç»¿è²ç§æ"/>
                          <pic:cNvPicPr>
                            <a:picLocks noChangeAspect="1" noChangeArrowheads="1"/>
                          </pic:cNvPicPr>
                        </pic:nvPicPr>
                        <pic:blipFill>
                          <a:blip r:embed="rId11"/>
                          <a:srcRect/>
                          <a:stretch>
                            <a:fillRect/>
                          </a:stretch>
                        </pic:blipFill>
                        <pic:spPr>
                          <a:xfrm>
                            <a:off x="0" y="0"/>
                            <a:ext cx="5090160" cy="2674620"/>
                          </a:xfrm>
                          <a:prstGeom prst="rect">
                            <a:avLst/>
                          </a:prstGeom>
                          <a:noFill/>
                          <a:ln w="9525">
                            <a:noFill/>
                            <a:miter lim="800000"/>
                            <a:headEnd/>
                            <a:tailEnd/>
                          </a:ln>
                        </pic:spPr>
                      </pic:pic>
                    </a:graphicData>
                  </a:graphic>
                </wp:inline>
              </w:drawing>
            </w:r>
          </w:p>
          <w:p w:rsidR="005011A4" w:rsidRDefault="005226AA">
            <w:pPr>
              <w:adjustRightInd w:val="0"/>
              <w:snapToGrid w:val="0"/>
              <w:spacing w:line="240" w:lineRule="auto"/>
              <w:ind w:firstLineChars="0" w:firstLine="0"/>
              <w:jc w:val="center"/>
              <w:textAlignment w:val="auto"/>
            </w:pPr>
            <w:r>
              <w:rPr>
                <w:rFonts w:hint="eastAsia"/>
              </w:rPr>
              <w:t>图</w:t>
            </w:r>
            <w:r>
              <w:rPr>
                <w:rFonts w:hint="eastAsia"/>
              </w:rPr>
              <w:t>6</w:t>
            </w:r>
            <w:r>
              <w:t>-</w:t>
            </w:r>
            <w:r>
              <w:rPr>
                <w:rFonts w:hint="eastAsia"/>
              </w:rPr>
              <w:t xml:space="preserve">5  </w:t>
            </w:r>
            <w:r>
              <w:rPr>
                <w:rFonts w:hint="eastAsia"/>
              </w:rPr>
              <w:t>塔拉滩场区现状</w:t>
            </w:r>
          </w:p>
        </w:tc>
      </w:tr>
    </w:tbl>
    <w:p w:rsidR="005011A4" w:rsidRDefault="005226AA">
      <w:pPr>
        <w:pStyle w:val="2"/>
        <w:rPr>
          <w:rFonts w:ascii="Times New Roman"/>
        </w:rPr>
      </w:pPr>
      <w:bookmarkStart w:id="2" w:name="_Toc128756545"/>
      <w:r>
        <w:rPr>
          <w:rFonts w:ascii="Times New Roman"/>
          <w:bCs/>
        </w:rPr>
        <w:lastRenderedPageBreak/>
        <w:t>（十八）</w:t>
      </w:r>
      <w:r>
        <w:rPr>
          <w:rFonts w:ascii="Times New Roman"/>
        </w:rPr>
        <w:t>助力农村人居环境整治提升</w:t>
      </w:r>
      <w:bookmarkEnd w:id="2"/>
    </w:p>
    <w:p w:rsidR="005011A4" w:rsidRDefault="005226AA">
      <w:pPr>
        <w:rPr>
          <w:rFonts w:eastAsia="方正楷体_GBK"/>
        </w:rPr>
      </w:pPr>
      <w:r>
        <w:rPr>
          <w:rFonts w:eastAsia="方正楷体_GBK"/>
        </w:rPr>
        <w:t>主要政策点</w:t>
      </w:r>
      <w:r>
        <w:rPr>
          <w:rFonts w:eastAsia="方正楷体_GBK"/>
        </w:rPr>
        <w:t>1</w:t>
      </w:r>
      <w:r>
        <w:rPr>
          <w:rFonts w:eastAsia="方正楷体_GBK"/>
        </w:rPr>
        <w:t>：因地制宜推动生物质能、地热能、太阳能供暖，在保障能源安全稳定供应基础上有序开展新能源替代散煤行动，促进农村清洁取暖、农业清洁生产。</w:t>
      </w:r>
    </w:p>
    <w:p w:rsidR="005011A4" w:rsidRDefault="005226AA">
      <w:r>
        <w:t>实施乡村振兴战略，是党的十九大作出的重大决策部署，是决胜全面建成小康社会、全面建设社会主义现代化国家的重大历史任务。我国乡村振兴战略提出</w:t>
      </w:r>
      <w:r>
        <w:rPr>
          <w:rFonts w:hint="eastAsia"/>
        </w:rPr>
        <w:t>“</w:t>
      </w:r>
      <w:r>
        <w:t>到</w:t>
      </w:r>
      <w:r>
        <w:t>2035</w:t>
      </w:r>
      <w:r>
        <w:t>年，农村生态环境根本好转，生态宜居的美丽乡村基本实现</w:t>
      </w:r>
      <w:r>
        <w:rPr>
          <w:rFonts w:hint="eastAsia"/>
        </w:rPr>
        <w:t>”</w:t>
      </w:r>
      <w:r>
        <w:t>。随着新农村建设力度的加大和人民生活水平的提高，农村用能水平将会持续</w:t>
      </w:r>
      <w:r>
        <w:rPr>
          <w:rFonts w:hint="eastAsia"/>
        </w:rPr>
        <w:t>提高</w:t>
      </w:r>
      <w:r>
        <w:t>，清洁用能比例也将不断</w:t>
      </w:r>
      <w:r>
        <w:rPr>
          <w:rFonts w:hint="eastAsia"/>
        </w:rPr>
        <w:t>增长</w:t>
      </w:r>
      <w:r>
        <w:t>。因地制宜推动以生物质能、地热能、太阳能等为代表的农村新能源利用，不仅能够提升农村人居环境，也正在成为助力乡村振兴的有效途径。</w:t>
      </w:r>
    </w:p>
    <w:p w:rsidR="005011A4" w:rsidRDefault="005226AA">
      <w:r>
        <w:t>农村清洁取暖是发挥新能源生态效益的重要领域。自</w:t>
      </w:r>
      <w:r>
        <w:t>2016</w:t>
      </w:r>
      <w:r>
        <w:t>年以来，我国积极推进清洁取暖改造工程，遵循宜电则电、宜气则气、宜煤则煤、宜热则热原则，实施散煤替代，开展生物质能、地热能、太阳能供暖应用或实践。</w:t>
      </w:r>
      <w:r>
        <w:rPr>
          <w:rFonts w:ascii="方正仿宋_GBK" w:hAnsi="方正仿宋_GBK" w:hint="eastAsia"/>
        </w:rPr>
        <w:t>“</w:t>
      </w:r>
      <w:r>
        <w:t>十三五</w:t>
      </w:r>
      <w:r>
        <w:rPr>
          <w:rFonts w:ascii="方正仿宋_GBK" w:hAnsi="方正仿宋_GBK" w:hint="eastAsia"/>
        </w:rPr>
        <w:t>”</w:t>
      </w:r>
      <w:r>
        <w:rPr>
          <w:rFonts w:hint="eastAsia"/>
        </w:rPr>
        <w:t>以来</w:t>
      </w:r>
      <w:r>
        <w:t>，我国北方</w:t>
      </w:r>
      <w:r>
        <w:t>农村地区清洁取暖率由</w:t>
      </w:r>
      <w:r>
        <w:t>9</w:t>
      </w:r>
      <w:r>
        <w:t>％提高到</w:t>
      </w:r>
      <w:r>
        <w:t>28</w:t>
      </w:r>
      <w:r>
        <w:t>％左右，重点地区农村清洁取暖率达到</w:t>
      </w:r>
      <w:r>
        <w:t>71</w:t>
      </w:r>
      <w:r>
        <w:t>％。虽然农村清洁取暖取得了一定成效，但是农村新能源利用依然任重道远。一是农村清洁用能仍处于发展初期，农村居民对新能源供暖了解不够，部分地区对生物质能存在认识误区，把生物质能视为</w:t>
      </w:r>
      <w:r>
        <w:rPr>
          <w:rFonts w:ascii="方正仿宋_GBK" w:hAnsi="方正仿宋_GBK" w:hint="eastAsia"/>
        </w:rPr>
        <w:t>“</w:t>
      </w:r>
      <w:r>
        <w:t>废弃物</w:t>
      </w:r>
      <w:r>
        <w:rPr>
          <w:rFonts w:ascii="方正仿宋_GBK" w:hAnsi="方正仿宋_GBK" w:hint="eastAsia"/>
        </w:rPr>
        <w:t>”</w:t>
      </w:r>
      <w:r>
        <w:t>或</w:t>
      </w:r>
      <w:r>
        <w:rPr>
          <w:rFonts w:ascii="方正仿宋_GBK" w:hAnsi="方正仿宋_GBK" w:hint="eastAsia"/>
        </w:rPr>
        <w:t>“</w:t>
      </w:r>
      <w:r>
        <w:t>污染物</w:t>
      </w:r>
      <w:r>
        <w:rPr>
          <w:rFonts w:ascii="方正仿宋_GBK" w:hAnsi="方正仿宋_GBK" w:hint="eastAsia"/>
        </w:rPr>
        <w:t>”</w:t>
      </w:r>
      <w:r>
        <w:t>，而不是可以提供</w:t>
      </w:r>
      <w:r>
        <w:rPr>
          <w:rFonts w:ascii="方正仿宋_GBK" w:hAnsi="方正仿宋_GBK" w:hint="eastAsia"/>
        </w:rPr>
        <w:t>“</w:t>
      </w:r>
      <w:r>
        <w:t>清洁能源</w:t>
      </w:r>
      <w:r>
        <w:rPr>
          <w:rFonts w:ascii="方正仿宋_GBK" w:hAnsi="方正仿宋_GBK" w:hint="eastAsia"/>
        </w:rPr>
        <w:t>”</w:t>
      </w:r>
      <w:r>
        <w:t>的资源；二是农村生物质资源分散，适合分布式的开发利用方式，目前简单复制</w:t>
      </w:r>
      <w:r>
        <w:lastRenderedPageBreak/>
        <w:t>城市大规模开发的模式不适合农村资源特点，导致成本居高不下；三是农村建筑保暖性能差影响取暖效果，较高的清洁取暖成本</w:t>
      </w:r>
      <w:r>
        <w:rPr>
          <w:rFonts w:hint="eastAsia"/>
        </w:rPr>
        <w:t>不利于</w:t>
      </w:r>
      <w:r>
        <w:t>清洁供暖方式推广。</w:t>
      </w:r>
    </w:p>
    <w:p w:rsidR="005011A4" w:rsidRDefault="005226AA">
      <w:r>
        <w:t>《实施</w:t>
      </w:r>
      <w:r>
        <w:t>方案》以助力农村人居环境整治提升为导向，统筹考虑农村新能源资源条件、需求特点和技术可行性，推进农村清洁取暖和农村清洁生产。下一步将全面落实《实施方案》要求，积极开展政策引导和支持。一是加强宣传力度，使地方政府、农村居民充分了解新能源供暖优势和效果，新能源供暖技术最新进展与经济可行性，以及生物质能的特点和利用方式等；二是充分考虑当地发展实际、资源禀赋、用能习惯等情况，因地制宜推动生物质能、地热能、太阳能等多种供暖方式，有序开展新能源替代散煤行动。</w:t>
      </w:r>
    </w:p>
    <w:p w:rsidR="005011A4" w:rsidRDefault="005011A4"/>
    <w:tbl>
      <w:tblPr>
        <w:tblW w:w="86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76"/>
      </w:tblGrid>
      <w:tr w:rsidR="005011A4">
        <w:tc>
          <w:tcPr>
            <w:tcW w:w="8676" w:type="dxa"/>
          </w:tcPr>
          <w:p w:rsidR="005011A4" w:rsidRDefault="005226AA">
            <w:pPr>
              <w:pStyle w:val="af4"/>
              <w:ind w:firstLineChars="0" w:firstLine="0"/>
              <w:rPr>
                <w:sz w:val="30"/>
                <w:szCs w:val="30"/>
              </w:rPr>
            </w:pPr>
            <w:r>
              <w:rPr>
                <w:sz w:val="30"/>
                <w:szCs w:val="30"/>
              </w:rPr>
              <w:t>案例</w:t>
            </w:r>
            <w:r>
              <w:rPr>
                <w:rFonts w:hint="eastAsia"/>
                <w:sz w:val="30"/>
                <w:szCs w:val="30"/>
              </w:rPr>
              <w:t>6</w:t>
            </w:r>
            <w:r>
              <w:rPr>
                <w:sz w:val="30"/>
                <w:szCs w:val="30"/>
              </w:rPr>
              <w:t>-</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3</w:t>
            </w:r>
            <w:r>
              <w:rPr>
                <w:sz w:val="30"/>
                <w:szCs w:val="30"/>
              </w:rPr>
              <w:fldChar w:fldCharType="end"/>
            </w:r>
            <w:r>
              <w:rPr>
                <w:rFonts w:hint="eastAsia"/>
                <w:sz w:val="30"/>
                <w:szCs w:val="30"/>
              </w:rPr>
              <w:t xml:space="preserve">  </w:t>
            </w:r>
            <w:r>
              <w:rPr>
                <w:rFonts w:hint="eastAsia"/>
                <w:sz w:val="30"/>
                <w:szCs w:val="30"/>
              </w:rPr>
              <w:t>兰考农村能源革命赋能乡村振兴</w:t>
            </w:r>
          </w:p>
        </w:tc>
      </w:tr>
      <w:tr w:rsidR="005011A4">
        <w:trPr>
          <w:trHeight w:val="1648"/>
        </w:trPr>
        <w:tc>
          <w:tcPr>
            <w:tcW w:w="8676" w:type="dxa"/>
          </w:tcPr>
          <w:p w:rsidR="005011A4" w:rsidRDefault="005226AA">
            <w:pPr>
              <w:adjustRightInd w:val="0"/>
              <w:snapToGrid w:val="0"/>
              <w:spacing w:line="520" w:lineRule="exact"/>
              <w:ind w:firstLine="560"/>
              <w:textAlignment w:val="auto"/>
              <w:rPr>
                <w:sz w:val="28"/>
                <w:szCs w:val="28"/>
              </w:rPr>
            </w:pPr>
            <w:r>
              <w:rPr>
                <w:rFonts w:hint="eastAsia"/>
                <w:sz w:val="28"/>
                <w:szCs w:val="28"/>
              </w:rPr>
              <w:t>从烧柴火到烧煤球，再到罐装液化气和天然气，从点煤油灯到用上电灯，农村的能源结构发生了数次革命，如今以风能、太阳能、地热能等为代表的新能源也正在悄然走进农村。河南省开封市兰考县是典型的农业县，风能、太阳能、农林废弃物、畜禽养殖废弃物等可再生能源资源较为丰富，具备良好的资源基础和条件。</w:t>
            </w:r>
            <w:r>
              <w:rPr>
                <w:rFonts w:hint="eastAsia"/>
                <w:sz w:val="28"/>
                <w:szCs w:val="28"/>
              </w:rPr>
              <w:t>2016</w:t>
            </w:r>
            <w:r>
              <w:rPr>
                <w:rFonts w:hint="eastAsia"/>
                <w:sz w:val="28"/>
                <w:szCs w:val="28"/>
              </w:rPr>
              <w:t>年，中国工程院率先在兰考开展农村能源革命先导工程；</w:t>
            </w:r>
            <w:r>
              <w:rPr>
                <w:rFonts w:hint="eastAsia"/>
                <w:sz w:val="28"/>
                <w:szCs w:val="28"/>
              </w:rPr>
              <w:t>2017</w:t>
            </w:r>
            <w:r>
              <w:rPr>
                <w:rFonts w:hint="eastAsia"/>
                <w:sz w:val="28"/>
                <w:szCs w:val="28"/>
              </w:rPr>
              <w:t>年，河南省政府将兰考农村能源革命列入推进能源转型发展方案；</w:t>
            </w:r>
            <w:r>
              <w:rPr>
                <w:rFonts w:hint="eastAsia"/>
                <w:sz w:val="28"/>
                <w:szCs w:val="28"/>
              </w:rPr>
              <w:t>2018</w:t>
            </w:r>
            <w:r>
              <w:rPr>
                <w:rFonts w:hint="eastAsia"/>
                <w:sz w:val="28"/>
                <w:szCs w:val="28"/>
              </w:rPr>
              <w:t>年，国家能源局批准兰考作为全国首个农村能源革命试点建设示范县</w:t>
            </w:r>
            <w:r>
              <w:rPr>
                <w:rFonts w:hint="eastAsia"/>
                <w:sz w:val="28"/>
                <w:szCs w:val="28"/>
              </w:rPr>
              <w:t>。</w:t>
            </w:r>
            <w:r>
              <w:rPr>
                <w:rFonts w:hint="eastAsia"/>
                <w:sz w:val="28"/>
                <w:szCs w:val="28"/>
              </w:rPr>
              <w:t>2021</w:t>
            </w:r>
            <w:r>
              <w:rPr>
                <w:rFonts w:hint="eastAsia"/>
                <w:sz w:val="28"/>
                <w:szCs w:val="28"/>
              </w:rPr>
              <w:t>年，农村能源革命试点建设启动会在兰考县召开，一场新的能源革命在兰考展开。</w:t>
            </w:r>
          </w:p>
          <w:p w:rsidR="005011A4" w:rsidRDefault="005226AA">
            <w:pPr>
              <w:adjustRightInd w:val="0"/>
              <w:snapToGrid w:val="0"/>
              <w:spacing w:line="520" w:lineRule="exact"/>
              <w:ind w:firstLine="560"/>
              <w:textAlignment w:val="auto"/>
            </w:pPr>
            <w:r>
              <w:rPr>
                <w:rFonts w:hint="eastAsia"/>
                <w:sz w:val="28"/>
                <w:szCs w:val="28"/>
              </w:rPr>
              <w:t>兰考县高度重视农村能源革命试点建设工作，构建形成兰考农村</w:t>
            </w:r>
            <w:r>
              <w:rPr>
                <w:rFonts w:hint="eastAsia"/>
                <w:sz w:val="28"/>
                <w:szCs w:val="28"/>
              </w:rPr>
              <w:lastRenderedPageBreak/>
              <w:t>能源革命试点</w:t>
            </w:r>
            <w:r>
              <w:rPr>
                <w:rFonts w:ascii="方正仿宋_GBK" w:hAnsi="方正仿宋_GBK" w:hint="eastAsia"/>
                <w:sz w:val="28"/>
                <w:szCs w:val="28"/>
              </w:rPr>
              <w:t>“</w:t>
            </w:r>
            <w:r>
              <w:rPr>
                <w:rFonts w:hint="eastAsia"/>
                <w:sz w:val="28"/>
                <w:szCs w:val="28"/>
              </w:rPr>
              <w:t>1+5+N</w:t>
            </w:r>
            <w:r>
              <w:rPr>
                <w:rFonts w:ascii="方正仿宋_GBK" w:hAnsi="方正仿宋_GBK" w:hint="eastAsia"/>
                <w:sz w:val="28"/>
                <w:szCs w:val="28"/>
              </w:rPr>
              <w:t>”</w:t>
            </w:r>
            <w:r>
              <w:rPr>
                <w:rFonts w:hint="eastAsia"/>
                <w:sz w:val="28"/>
                <w:szCs w:val="28"/>
              </w:rPr>
              <w:t>建设方案体系，建立了国家级专家决策、省级协调、县级推进的工作机制，依托大型能源企业整体规划布局、整体建设运营。目前，兰考农村能源革命已取得积极成效，形成了以清洁能源为主体，多能互补、城乡统筹的农村能源生产消费新模式。与</w:t>
            </w:r>
            <w:r>
              <w:rPr>
                <w:rFonts w:hint="eastAsia"/>
                <w:sz w:val="28"/>
                <w:szCs w:val="28"/>
              </w:rPr>
              <w:t>2016</w:t>
            </w:r>
            <w:r>
              <w:rPr>
                <w:rFonts w:hint="eastAsia"/>
                <w:sz w:val="28"/>
                <w:szCs w:val="28"/>
              </w:rPr>
              <w:t>年相比，非化石能源消费占比从</w:t>
            </w:r>
            <w:r>
              <w:rPr>
                <w:rFonts w:hint="eastAsia"/>
                <w:sz w:val="28"/>
                <w:szCs w:val="28"/>
              </w:rPr>
              <w:t>22%</w:t>
            </w:r>
            <w:r>
              <w:rPr>
                <w:rFonts w:hint="eastAsia"/>
                <w:sz w:val="28"/>
                <w:szCs w:val="28"/>
              </w:rPr>
              <w:t>提高到</w:t>
            </w:r>
            <w:r>
              <w:rPr>
                <w:rFonts w:hint="eastAsia"/>
                <w:sz w:val="28"/>
                <w:szCs w:val="28"/>
              </w:rPr>
              <w:t>75%</w:t>
            </w:r>
            <w:r>
              <w:rPr>
                <w:rFonts w:hint="eastAsia"/>
                <w:sz w:val="28"/>
                <w:szCs w:val="28"/>
              </w:rPr>
              <w:t>；电能占终端能源消费比重从</w:t>
            </w:r>
            <w:r>
              <w:rPr>
                <w:rFonts w:hint="eastAsia"/>
                <w:sz w:val="28"/>
                <w:szCs w:val="28"/>
              </w:rPr>
              <w:t>37.5%</w:t>
            </w:r>
            <w:r>
              <w:rPr>
                <w:rFonts w:hint="eastAsia"/>
                <w:sz w:val="28"/>
                <w:szCs w:val="28"/>
              </w:rPr>
              <w:t>提高到</w:t>
            </w:r>
            <w:r>
              <w:rPr>
                <w:rFonts w:hint="eastAsia"/>
                <w:sz w:val="28"/>
                <w:szCs w:val="28"/>
              </w:rPr>
              <w:t>64.5%</w:t>
            </w:r>
            <w:r>
              <w:rPr>
                <w:rFonts w:hint="eastAsia"/>
                <w:sz w:val="28"/>
                <w:szCs w:val="28"/>
              </w:rPr>
              <w:t>；新能源发电量占全社会用电量比重从</w:t>
            </w:r>
            <w:r>
              <w:rPr>
                <w:rFonts w:hint="eastAsia"/>
                <w:sz w:val="28"/>
                <w:szCs w:val="28"/>
              </w:rPr>
              <w:t>21%</w:t>
            </w:r>
            <w:r>
              <w:rPr>
                <w:rFonts w:hint="eastAsia"/>
                <w:sz w:val="28"/>
                <w:szCs w:val="28"/>
              </w:rPr>
              <w:t>提高到</w:t>
            </w:r>
            <w:r>
              <w:rPr>
                <w:rFonts w:hint="eastAsia"/>
                <w:sz w:val="28"/>
                <w:szCs w:val="28"/>
              </w:rPr>
              <w:t>112%</w:t>
            </w:r>
            <w:r>
              <w:rPr>
                <w:rFonts w:hint="eastAsia"/>
                <w:sz w:val="28"/>
                <w:szCs w:val="28"/>
              </w:rPr>
              <w:t>；清洁取暖普及率从</w:t>
            </w:r>
            <w:r>
              <w:rPr>
                <w:rFonts w:hint="eastAsia"/>
                <w:sz w:val="28"/>
                <w:szCs w:val="28"/>
              </w:rPr>
              <w:t>14%</w:t>
            </w:r>
            <w:r>
              <w:rPr>
                <w:rFonts w:hint="eastAsia"/>
                <w:sz w:val="28"/>
                <w:szCs w:val="28"/>
              </w:rPr>
              <w:t>提高到</w:t>
            </w:r>
            <w:r>
              <w:rPr>
                <w:rFonts w:hint="eastAsia"/>
                <w:sz w:val="28"/>
                <w:szCs w:val="28"/>
              </w:rPr>
              <w:t>99%</w:t>
            </w:r>
            <w:r>
              <w:rPr>
                <w:rFonts w:hint="eastAsia"/>
                <w:sz w:val="28"/>
                <w:szCs w:val="28"/>
              </w:rPr>
              <w:t>；秸秆、畜禽粪污资源化利用率达到</w:t>
            </w:r>
            <w:r>
              <w:rPr>
                <w:rFonts w:hint="eastAsia"/>
                <w:sz w:val="28"/>
                <w:szCs w:val="28"/>
              </w:rPr>
              <w:t>98%</w:t>
            </w:r>
            <w:r>
              <w:rPr>
                <w:rFonts w:hint="eastAsia"/>
                <w:sz w:val="28"/>
                <w:szCs w:val="28"/>
              </w:rPr>
              <w:t>；可再生能源发电并网装机容量</w:t>
            </w:r>
            <w:r>
              <w:rPr>
                <w:rFonts w:hint="eastAsia"/>
                <w:sz w:val="28"/>
                <w:szCs w:val="28"/>
              </w:rPr>
              <w:t>115</w:t>
            </w:r>
            <w:r>
              <w:rPr>
                <w:rFonts w:hint="eastAsia"/>
                <w:sz w:val="28"/>
                <w:szCs w:val="28"/>
              </w:rPr>
              <w:t>万千瓦，增长</w:t>
            </w:r>
            <w:r>
              <w:rPr>
                <w:rFonts w:hint="eastAsia"/>
                <w:sz w:val="28"/>
                <w:szCs w:val="28"/>
              </w:rPr>
              <w:t>31</w:t>
            </w:r>
            <w:r>
              <w:rPr>
                <w:rFonts w:hint="eastAsia"/>
                <w:sz w:val="28"/>
                <w:szCs w:val="28"/>
              </w:rPr>
              <w:t>倍。</w:t>
            </w:r>
          </w:p>
        </w:tc>
      </w:tr>
    </w:tbl>
    <w:p w:rsidR="005011A4" w:rsidRDefault="005011A4"/>
    <w:tbl>
      <w:tblPr>
        <w:tblW w:w="86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76"/>
      </w:tblGrid>
      <w:tr w:rsidR="005011A4">
        <w:tc>
          <w:tcPr>
            <w:tcW w:w="8676" w:type="dxa"/>
          </w:tcPr>
          <w:p w:rsidR="005011A4" w:rsidRDefault="005226AA">
            <w:pPr>
              <w:pStyle w:val="af4"/>
              <w:ind w:firstLineChars="0" w:firstLine="0"/>
              <w:rPr>
                <w:sz w:val="30"/>
                <w:szCs w:val="30"/>
              </w:rPr>
            </w:pPr>
            <w:r>
              <w:rPr>
                <w:sz w:val="30"/>
                <w:szCs w:val="30"/>
              </w:rPr>
              <w:t>案例</w:t>
            </w:r>
            <w:r>
              <w:rPr>
                <w:sz w:val="30"/>
                <w:szCs w:val="30"/>
              </w:rPr>
              <w:t>6-</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4</w:t>
            </w:r>
            <w:r>
              <w:rPr>
                <w:sz w:val="30"/>
                <w:szCs w:val="30"/>
              </w:rPr>
              <w:fldChar w:fldCharType="end"/>
            </w:r>
            <w:r>
              <w:rPr>
                <w:rFonts w:hint="eastAsia"/>
                <w:sz w:val="30"/>
                <w:szCs w:val="30"/>
              </w:rPr>
              <w:t xml:space="preserve">  </w:t>
            </w:r>
            <w:r>
              <w:rPr>
                <w:sz w:val="30"/>
                <w:szCs w:val="30"/>
              </w:rPr>
              <w:t>太阳能跨季储热供热经济与生态效益明显</w:t>
            </w:r>
          </w:p>
        </w:tc>
      </w:tr>
      <w:tr w:rsidR="005011A4">
        <w:trPr>
          <w:trHeight w:val="1124"/>
        </w:trPr>
        <w:tc>
          <w:tcPr>
            <w:tcW w:w="8676" w:type="dxa"/>
          </w:tcPr>
          <w:p w:rsidR="005011A4" w:rsidRDefault="005226AA">
            <w:pPr>
              <w:adjustRightInd w:val="0"/>
              <w:snapToGrid w:val="0"/>
              <w:spacing w:line="520" w:lineRule="exact"/>
              <w:ind w:firstLine="560"/>
              <w:textAlignment w:val="auto"/>
              <w:rPr>
                <w:sz w:val="28"/>
                <w:szCs w:val="28"/>
              </w:rPr>
            </w:pPr>
            <w:r>
              <w:rPr>
                <w:sz w:val="28"/>
                <w:szCs w:val="28"/>
              </w:rPr>
              <w:t>在中国科学院战略性先导科技专项</w:t>
            </w:r>
            <w:r>
              <w:rPr>
                <w:rFonts w:hint="eastAsia"/>
                <w:sz w:val="28"/>
                <w:szCs w:val="28"/>
              </w:rPr>
              <w:t>（</w:t>
            </w:r>
            <w:r>
              <w:rPr>
                <w:sz w:val="28"/>
                <w:szCs w:val="28"/>
              </w:rPr>
              <w:t>A</w:t>
            </w:r>
            <w:r>
              <w:rPr>
                <w:sz w:val="28"/>
                <w:szCs w:val="28"/>
              </w:rPr>
              <w:t>类</w:t>
            </w:r>
            <w:r>
              <w:rPr>
                <w:rFonts w:hint="eastAsia"/>
                <w:sz w:val="28"/>
                <w:szCs w:val="28"/>
              </w:rPr>
              <w:t>）</w:t>
            </w:r>
            <w:r>
              <w:rPr>
                <w:sz w:val="28"/>
                <w:szCs w:val="28"/>
              </w:rPr>
              <w:t>《变革性清洁能源关键技术与示范》和国家发改委《张家口可再生能源示范区产业创新发展专项》的支持下，中国科学院电工研究所与达华工程集团合作设计建设了黄帝城太阳能跨季储热供热项目。项目采用塔式太阳能集热、平板太阳能集热和跨季储热结合</w:t>
            </w:r>
            <w:r>
              <w:rPr>
                <w:rFonts w:hint="eastAsia"/>
                <w:sz w:val="28"/>
                <w:szCs w:val="28"/>
              </w:rPr>
              <w:t>的</w:t>
            </w:r>
            <w:r>
              <w:rPr>
                <w:sz w:val="28"/>
                <w:szCs w:val="28"/>
              </w:rPr>
              <w:t>技术</w:t>
            </w:r>
            <w:r>
              <w:rPr>
                <w:rFonts w:hint="eastAsia"/>
                <w:sz w:val="28"/>
                <w:szCs w:val="28"/>
              </w:rPr>
              <w:t>方案，</w:t>
            </w:r>
            <w:r>
              <w:rPr>
                <w:sz w:val="28"/>
                <w:szCs w:val="28"/>
              </w:rPr>
              <w:t>为张家口黄帝城</w:t>
            </w:r>
            <w:r>
              <w:rPr>
                <w:sz w:val="28"/>
                <w:szCs w:val="28"/>
              </w:rPr>
              <w:t>30</w:t>
            </w:r>
            <w:r>
              <w:rPr>
                <w:sz w:val="28"/>
                <w:szCs w:val="28"/>
              </w:rPr>
              <w:t>万平方米建筑</w:t>
            </w:r>
            <w:r>
              <w:rPr>
                <w:rFonts w:hint="eastAsia"/>
                <w:sz w:val="28"/>
                <w:szCs w:val="28"/>
              </w:rPr>
              <w:t>提供热水和采暖用</w:t>
            </w:r>
            <w:r>
              <w:rPr>
                <w:sz w:val="28"/>
                <w:szCs w:val="28"/>
              </w:rPr>
              <w:t>热。系统包括</w:t>
            </w:r>
            <w:r>
              <w:rPr>
                <w:sz w:val="28"/>
                <w:szCs w:val="28"/>
              </w:rPr>
              <w:t>3</w:t>
            </w:r>
            <w:r>
              <w:rPr>
                <w:sz w:val="28"/>
                <w:szCs w:val="28"/>
              </w:rPr>
              <w:t>期，一期于</w:t>
            </w:r>
            <w:r>
              <w:rPr>
                <w:sz w:val="28"/>
                <w:szCs w:val="28"/>
              </w:rPr>
              <w:t>2018</w:t>
            </w:r>
            <w:r>
              <w:rPr>
                <w:sz w:val="28"/>
                <w:szCs w:val="28"/>
              </w:rPr>
              <w:t>年</w:t>
            </w:r>
            <w:r>
              <w:rPr>
                <w:sz w:val="28"/>
                <w:szCs w:val="28"/>
              </w:rPr>
              <w:t>4</w:t>
            </w:r>
            <w:r>
              <w:rPr>
                <w:sz w:val="28"/>
                <w:szCs w:val="28"/>
              </w:rPr>
              <w:t>月建成，包括</w:t>
            </w:r>
            <w:r>
              <w:rPr>
                <w:sz w:val="28"/>
                <w:szCs w:val="28"/>
              </w:rPr>
              <w:t>800</w:t>
            </w:r>
            <w:r>
              <w:rPr>
                <w:sz w:val="28"/>
                <w:szCs w:val="28"/>
              </w:rPr>
              <w:t>平方米塔式集热</w:t>
            </w:r>
            <w:r>
              <w:rPr>
                <w:rFonts w:hint="eastAsia"/>
                <w:sz w:val="28"/>
                <w:szCs w:val="28"/>
              </w:rPr>
              <w:t>系统</w:t>
            </w:r>
            <w:r>
              <w:rPr>
                <w:sz w:val="28"/>
                <w:szCs w:val="28"/>
              </w:rPr>
              <w:t>、</w:t>
            </w:r>
            <w:r>
              <w:rPr>
                <w:sz w:val="28"/>
                <w:szCs w:val="28"/>
              </w:rPr>
              <w:t>3000</w:t>
            </w:r>
            <w:r>
              <w:rPr>
                <w:sz w:val="28"/>
                <w:szCs w:val="28"/>
              </w:rPr>
              <w:t>立</w:t>
            </w:r>
            <w:r>
              <w:rPr>
                <w:sz w:val="28"/>
                <w:szCs w:val="28"/>
              </w:rPr>
              <w:t>方米储热水体；二期于</w:t>
            </w:r>
            <w:r>
              <w:rPr>
                <w:sz w:val="28"/>
                <w:szCs w:val="28"/>
              </w:rPr>
              <w:t>2021</w:t>
            </w:r>
            <w:r>
              <w:rPr>
                <w:sz w:val="28"/>
                <w:szCs w:val="28"/>
              </w:rPr>
              <w:t>年</w:t>
            </w:r>
            <w:r>
              <w:rPr>
                <w:sz w:val="28"/>
                <w:szCs w:val="28"/>
              </w:rPr>
              <w:t>12</w:t>
            </w:r>
            <w:r>
              <w:rPr>
                <w:sz w:val="28"/>
                <w:szCs w:val="28"/>
              </w:rPr>
              <w:t>月份建成，包括</w:t>
            </w:r>
            <w:r>
              <w:rPr>
                <w:sz w:val="28"/>
                <w:szCs w:val="28"/>
              </w:rPr>
              <w:t>1.26</w:t>
            </w:r>
            <w:r>
              <w:rPr>
                <w:sz w:val="28"/>
                <w:szCs w:val="28"/>
              </w:rPr>
              <w:t>万平方米平板集热器、</w:t>
            </w:r>
            <w:r>
              <w:rPr>
                <w:sz w:val="28"/>
                <w:szCs w:val="28"/>
              </w:rPr>
              <w:t>2200</w:t>
            </w:r>
            <w:r>
              <w:rPr>
                <w:sz w:val="28"/>
                <w:szCs w:val="28"/>
              </w:rPr>
              <w:t>平方米塔式集热</w:t>
            </w:r>
            <w:r>
              <w:rPr>
                <w:rFonts w:hint="eastAsia"/>
                <w:sz w:val="28"/>
                <w:szCs w:val="28"/>
              </w:rPr>
              <w:t>系统</w:t>
            </w:r>
            <w:r>
              <w:rPr>
                <w:sz w:val="28"/>
                <w:szCs w:val="28"/>
              </w:rPr>
              <w:t>、</w:t>
            </w:r>
            <w:r>
              <w:rPr>
                <w:sz w:val="28"/>
                <w:szCs w:val="28"/>
              </w:rPr>
              <w:t>2.3</w:t>
            </w:r>
            <w:r>
              <w:rPr>
                <w:sz w:val="28"/>
                <w:szCs w:val="28"/>
              </w:rPr>
              <w:t>万立方米跨季节储热。项目自</w:t>
            </w:r>
            <w:r>
              <w:rPr>
                <w:sz w:val="28"/>
                <w:szCs w:val="28"/>
              </w:rPr>
              <w:t>2019</w:t>
            </w:r>
            <w:r>
              <w:rPr>
                <w:sz w:val="28"/>
                <w:szCs w:val="28"/>
              </w:rPr>
              <w:t>年</w:t>
            </w:r>
            <w:r>
              <w:rPr>
                <w:sz w:val="28"/>
                <w:szCs w:val="28"/>
              </w:rPr>
              <w:t>10</w:t>
            </w:r>
            <w:r>
              <w:rPr>
                <w:sz w:val="28"/>
                <w:szCs w:val="28"/>
              </w:rPr>
              <w:t>月</w:t>
            </w:r>
            <w:r>
              <w:rPr>
                <w:sz w:val="28"/>
                <w:szCs w:val="28"/>
              </w:rPr>
              <w:t>16</w:t>
            </w:r>
            <w:r>
              <w:rPr>
                <w:sz w:val="28"/>
                <w:szCs w:val="28"/>
              </w:rPr>
              <w:t>日起向张家口达华建国酒店及周边建筑和沼气站供热。</w:t>
            </w:r>
            <w:r>
              <w:rPr>
                <w:rFonts w:hint="eastAsia"/>
                <w:sz w:val="28"/>
                <w:szCs w:val="28"/>
              </w:rPr>
              <w:t>项目</w:t>
            </w:r>
            <w:r>
              <w:rPr>
                <w:sz w:val="28"/>
                <w:szCs w:val="28"/>
              </w:rPr>
              <w:t>经济</w:t>
            </w:r>
            <w:r>
              <w:rPr>
                <w:rFonts w:hint="eastAsia"/>
                <w:sz w:val="28"/>
                <w:szCs w:val="28"/>
              </w:rPr>
              <w:t>效益、节能降碳效果、</w:t>
            </w:r>
            <w:r>
              <w:rPr>
                <w:sz w:val="28"/>
                <w:szCs w:val="28"/>
              </w:rPr>
              <w:t>生态效益</w:t>
            </w:r>
            <w:r>
              <w:rPr>
                <w:rFonts w:hint="eastAsia"/>
                <w:sz w:val="28"/>
                <w:szCs w:val="28"/>
              </w:rPr>
              <w:t>显著</w:t>
            </w:r>
            <w:r>
              <w:rPr>
                <w:sz w:val="28"/>
                <w:szCs w:val="28"/>
              </w:rPr>
              <w:t>。</w:t>
            </w:r>
          </w:p>
        </w:tc>
      </w:tr>
    </w:tbl>
    <w:p w:rsidR="005011A4" w:rsidRDefault="005011A4">
      <w:pPr>
        <w:rPr>
          <w:rFonts w:eastAsia="方正楷体_GBK"/>
        </w:rPr>
      </w:pPr>
    </w:p>
    <w:p w:rsidR="005011A4" w:rsidRDefault="005226AA">
      <w:pPr>
        <w:rPr>
          <w:rFonts w:eastAsia="方正楷体_GBK"/>
        </w:rPr>
      </w:pPr>
      <w:r>
        <w:rPr>
          <w:rFonts w:eastAsia="方正楷体_GBK"/>
        </w:rPr>
        <w:t>主要政策点</w:t>
      </w:r>
      <w:r>
        <w:rPr>
          <w:rFonts w:eastAsia="方正楷体_GBK"/>
        </w:rPr>
        <w:t>2</w:t>
      </w:r>
      <w:r>
        <w:rPr>
          <w:rFonts w:eastAsia="方正楷体_GBK"/>
        </w:rPr>
        <w:t>：深入推进秸秆综合利用和畜禽粪污资源化利用。</w:t>
      </w:r>
      <w:r>
        <w:rPr>
          <w:rFonts w:eastAsia="方正楷体_GBK"/>
        </w:rPr>
        <w:lastRenderedPageBreak/>
        <w:t>制定符合生物质燃烧特性的专用设备技术标准，推广利用生物质成型燃料。</w:t>
      </w:r>
    </w:p>
    <w:p w:rsidR="005011A4" w:rsidRDefault="005226AA">
      <w:r>
        <w:t>分散农作物秸秆和畜禽粪便的收集处理一直是农村人居环境改善难点。据统计，我国每年产生约</w:t>
      </w:r>
      <w:r>
        <w:t>9</w:t>
      </w:r>
      <w:r>
        <w:t>亿吨的秸秆等农林废弃物，近</w:t>
      </w:r>
      <w:r>
        <w:t>40</w:t>
      </w:r>
      <w:r>
        <w:t>亿吨畜禽粪便。在农村地区以市场化手段和符合农村资源、消费特点的商业模式推动秸秆综合利用和畜禽粪便资源化利用，既是促进农村产业发展和农村生态治理的重要手段，更是实现乡村振兴战略的重要基础。</w:t>
      </w:r>
    </w:p>
    <w:p w:rsidR="005011A4" w:rsidRDefault="005226AA">
      <w:r>
        <w:t>秸秆综合利用主要包括有机肥肥料化利用、清洁燃料的能源化利用、饲料处理利用、食用菌栽培和育苗的基料化利用以及建材等产品的原料利用五种方式。畜禽粪污的资源化利用主要</w:t>
      </w:r>
      <w:r>
        <w:rPr>
          <w:rFonts w:hint="eastAsia"/>
        </w:rPr>
        <w:t>包括</w:t>
      </w:r>
      <w:r>
        <w:t>作为肥料和通过发酵生产沼气两种方式。在实现</w:t>
      </w:r>
      <w:r>
        <w:rPr>
          <w:rFonts w:ascii="方正仿宋_GBK" w:hAnsi="方正仿宋_GBK" w:hint="eastAsia"/>
        </w:rPr>
        <w:t>“</w:t>
      </w:r>
      <w:r>
        <w:t>双碳</w:t>
      </w:r>
      <w:r>
        <w:rPr>
          <w:rFonts w:ascii="方正仿宋_GBK" w:hAnsi="方正仿宋_GBK" w:hint="eastAsia"/>
        </w:rPr>
        <w:t>”</w:t>
      </w:r>
      <w:r>
        <w:t>目标的进程中，农村秸秆和畜禽粪污的能源化利用是需要重点关注和推广的方向。秸秆通过固化成型、直燃发电、生物气化等方式实现能源化利用，畜禽粪污通过发酵生产沼气，不仅能够实现农村能源消费清洁化与低碳化，促进农村人居环境提升，更重要的是还能实现组织方式创新。比如，在国家政策支持下，以村民为主要股东的社区新能源公司作为实施主体开发当地秸秆与畜禽能源化利用项目，实现农村环境改善、农民致富与乡村振兴三重效益的统一。</w:t>
      </w:r>
    </w:p>
    <w:p w:rsidR="005011A4" w:rsidRDefault="005226AA">
      <w:r>
        <w:t>当前，秸秆等农林生物质能源化利用的一个重要障碍是缺乏相关标准规范，包括生物质设备与产品制造的技术标准</w:t>
      </w:r>
      <w:r>
        <w:t>以及生物质锅炉燃烧的排放标准等，标准的缺失导致各地生物质设备与产品难以</w:t>
      </w:r>
      <w:r>
        <w:lastRenderedPageBreak/>
        <w:t>形成市场开发、规模扩大、成本下降的良性循环。下一步，将积极研究出台生物质相关设备制造技术与产品行业标准，制定符合生物质燃烧特性的专用设备技术标准，推广利用生物质成型燃料，推动农村秸秆等生物质资源能源化利用，推进农村生物质能多元化利用。</w:t>
      </w:r>
    </w:p>
    <w:p w:rsidR="005011A4" w:rsidRDefault="005011A4"/>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31"/>
      </w:tblGrid>
      <w:tr w:rsidR="005011A4">
        <w:tc>
          <w:tcPr>
            <w:tcW w:w="8931" w:type="dxa"/>
          </w:tcPr>
          <w:p w:rsidR="005011A4" w:rsidRDefault="005226AA">
            <w:pPr>
              <w:pStyle w:val="af4"/>
              <w:ind w:firstLineChars="0" w:firstLine="0"/>
              <w:rPr>
                <w:sz w:val="30"/>
                <w:szCs w:val="30"/>
              </w:rPr>
            </w:pPr>
            <w:bookmarkStart w:id="3" w:name="_GoBack" w:colFirst="0" w:colLast="0"/>
            <w:r>
              <w:rPr>
                <w:sz w:val="30"/>
                <w:szCs w:val="30"/>
              </w:rPr>
              <w:t>案例</w:t>
            </w:r>
            <w:r>
              <w:rPr>
                <w:sz w:val="30"/>
                <w:szCs w:val="30"/>
              </w:rPr>
              <w:t>6-</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5</w:t>
            </w:r>
            <w:r>
              <w:rPr>
                <w:sz w:val="30"/>
                <w:szCs w:val="30"/>
              </w:rPr>
              <w:fldChar w:fldCharType="end"/>
            </w:r>
            <w:r>
              <w:rPr>
                <w:rFonts w:hint="eastAsia"/>
                <w:sz w:val="30"/>
                <w:szCs w:val="30"/>
              </w:rPr>
              <w:t xml:space="preserve">  </w:t>
            </w:r>
            <w:r>
              <w:rPr>
                <w:sz w:val="30"/>
                <w:szCs w:val="30"/>
              </w:rPr>
              <w:t>生物质清洁能源供热助力乡村振兴</w:t>
            </w:r>
          </w:p>
        </w:tc>
      </w:tr>
      <w:tr w:rsidR="005011A4">
        <w:trPr>
          <w:trHeight w:val="1648"/>
        </w:trPr>
        <w:tc>
          <w:tcPr>
            <w:tcW w:w="8931" w:type="dxa"/>
          </w:tcPr>
          <w:p w:rsidR="005011A4" w:rsidRDefault="005226AA">
            <w:pPr>
              <w:adjustRightInd w:val="0"/>
              <w:snapToGrid w:val="0"/>
              <w:spacing w:line="520" w:lineRule="exact"/>
              <w:ind w:firstLine="560"/>
              <w:textAlignment w:val="auto"/>
              <w:rPr>
                <w:sz w:val="28"/>
                <w:szCs w:val="28"/>
              </w:rPr>
            </w:pPr>
            <w:r>
              <w:rPr>
                <w:sz w:val="28"/>
                <w:szCs w:val="28"/>
              </w:rPr>
              <w:t>山东省阳信县是我国北方农村清洁取暖典型模式示范基地。阳信县立足自身实际，充分发挥当地梨树枝条、农作物秸秆</w:t>
            </w:r>
            <w:r>
              <w:rPr>
                <w:sz w:val="28"/>
                <w:szCs w:val="28"/>
              </w:rPr>
              <w:t>、畜禽粪便等生物质原料丰富的资源优势和县域企业木质颗粒、畜禽粪污等生物质热电联产日臻成熟的技术优势，因地制宜探索出</w:t>
            </w:r>
            <w:r>
              <w:rPr>
                <w:rFonts w:ascii="方正仿宋_GBK" w:hAnsi="方正仿宋_GBK" w:hint="eastAsia"/>
                <w:sz w:val="28"/>
                <w:szCs w:val="28"/>
              </w:rPr>
              <w:t>“</w:t>
            </w:r>
            <w:r>
              <w:rPr>
                <w:sz w:val="28"/>
                <w:szCs w:val="28"/>
              </w:rPr>
              <w:t>政府能承担、环境有改善、群众愿接受</w:t>
            </w:r>
            <w:r>
              <w:rPr>
                <w:rFonts w:ascii="方正仿宋_GBK" w:hAnsi="方正仿宋_GBK" w:hint="eastAsia"/>
                <w:sz w:val="28"/>
                <w:szCs w:val="28"/>
              </w:rPr>
              <w:t>”</w:t>
            </w:r>
            <w:r>
              <w:rPr>
                <w:sz w:val="28"/>
                <w:szCs w:val="28"/>
              </w:rPr>
              <w:t>的清洁取暖新路径。</w:t>
            </w:r>
          </w:p>
          <w:p w:rsidR="005011A4" w:rsidRDefault="005226AA">
            <w:pPr>
              <w:adjustRightInd w:val="0"/>
              <w:snapToGrid w:val="0"/>
              <w:spacing w:line="520" w:lineRule="exact"/>
              <w:ind w:firstLine="560"/>
              <w:textAlignment w:val="auto"/>
              <w:rPr>
                <w:sz w:val="28"/>
                <w:szCs w:val="28"/>
              </w:rPr>
            </w:pPr>
            <w:r>
              <w:rPr>
                <w:sz w:val="28"/>
                <w:szCs w:val="28"/>
              </w:rPr>
              <w:t>阳信县根据全县各区域特点采取了三种生物质供暖技术方案：在县城区、部分乡镇办驻地及村庄推行热电联产集中供暖；在学校、医院、敬老院等公共场所以及部分有条件的村庄，推广</w:t>
            </w:r>
            <w:r>
              <w:rPr>
                <w:rFonts w:ascii="方正仿宋_GBK" w:hAnsi="方正仿宋_GBK" w:hint="eastAsia"/>
                <w:sz w:val="28"/>
                <w:szCs w:val="28"/>
              </w:rPr>
              <w:t>“</w:t>
            </w:r>
            <w:r>
              <w:rPr>
                <w:sz w:val="28"/>
                <w:szCs w:val="28"/>
              </w:rPr>
              <w:t>生物质成型燃料</w:t>
            </w:r>
            <w:r>
              <w:rPr>
                <w:sz w:val="28"/>
                <w:szCs w:val="28"/>
              </w:rPr>
              <w:t>+</w:t>
            </w:r>
            <w:r>
              <w:rPr>
                <w:sz w:val="28"/>
                <w:szCs w:val="28"/>
              </w:rPr>
              <w:t>锅炉机组分布式取暖</w:t>
            </w:r>
            <w:r>
              <w:rPr>
                <w:rFonts w:ascii="方正仿宋_GBK" w:hAnsi="方正仿宋_GBK" w:hint="eastAsia"/>
                <w:sz w:val="28"/>
                <w:szCs w:val="28"/>
              </w:rPr>
              <w:t>”</w:t>
            </w:r>
            <w:r>
              <w:rPr>
                <w:sz w:val="28"/>
                <w:szCs w:val="28"/>
              </w:rPr>
              <w:t>；在地理位置偏远、经济基础偏差的村庄，采用</w:t>
            </w:r>
            <w:r>
              <w:rPr>
                <w:rFonts w:ascii="方正仿宋_GBK" w:hAnsi="方正仿宋_GBK" w:hint="eastAsia"/>
                <w:sz w:val="28"/>
                <w:szCs w:val="28"/>
              </w:rPr>
              <w:t>“</w:t>
            </w:r>
            <w:r>
              <w:rPr>
                <w:sz w:val="28"/>
                <w:szCs w:val="28"/>
              </w:rPr>
              <w:t>生物质成型燃料</w:t>
            </w:r>
            <w:r>
              <w:rPr>
                <w:sz w:val="28"/>
                <w:szCs w:val="28"/>
              </w:rPr>
              <w:t>+</w:t>
            </w:r>
            <w:r>
              <w:rPr>
                <w:sz w:val="28"/>
                <w:szCs w:val="28"/>
              </w:rPr>
              <w:t>专用炉具分散式取暖</w:t>
            </w:r>
            <w:r>
              <w:rPr>
                <w:rFonts w:ascii="方正仿宋_GBK" w:hAnsi="方正仿宋_GBK" w:hint="eastAsia"/>
                <w:sz w:val="28"/>
                <w:szCs w:val="28"/>
              </w:rPr>
              <w:t>”</w:t>
            </w:r>
            <w:r>
              <w:rPr>
                <w:sz w:val="28"/>
                <w:szCs w:val="28"/>
              </w:rPr>
              <w:t>，形成了</w:t>
            </w:r>
            <w:r>
              <w:rPr>
                <w:rFonts w:ascii="方正仿宋_GBK" w:hAnsi="方正仿宋_GBK" w:hint="eastAsia"/>
                <w:sz w:val="28"/>
                <w:szCs w:val="28"/>
              </w:rPr>
              <w:t>“</w:t>
            </w:r>
            <w:r>
              <w:rPr>
                <w:sz w:val="28"/>
                <w:szCs w:val="28"/>
              </w:rPr>
              <w:t>农户就地收集、企业就近加工、全域就地使用</w:t>
            </w:r>
            <w:r>
              <w:rPr>
                <w:rFonts w:ascii="方正仿宋_GBK" w:hAnsi="方正仿宋_GBK" w:hint="eastAsia"/>
                <w:sz w:val="28"/>
                <w:szCs w:val="28"/>
              </w:rPr>
              <w:t>”</w:t>
            </w:r>
            <w:r>
              <w:rPr>
                <w:sz w:val="28"/>
                <w:szCs w:val="28"/>
              </w:rPr>
              <w:t>的改造方案。截至</w:t>
            </w:r>
            <w:r>
              <w:rPr>
                <w:sz w:val="28"/>
                <w:szCs w:val="28"/>
              </w:rPr>
              <w:t>2021</w:t>
            </w:r>
            <w:r>
              <w:rPr>
                <w:sz w:val="28"/>
                <w:szCs w:val="28"/>
              </w:rPr>
              <w:t>年底，阳信县已累计完成生物质清洁取暖改造</w:t>
            </w:r>
            <w:r>
              <w:rPr>
                <w:sz w:val="28"/>
                <w:szCs w:val="28"/>
              </w:rPr>
              <w:t>9.56</w:t>
            </w:r>
            <w:r>
              <w:rPr>
                <w:sz w:val="28"/>
                <w:szCs w:val="28"/>
              </w:rPr>
              <w:t>万户，加上之前煤改电、煤改气用户，全县</w:t>
            </w:r>
            <w:r>
              <w:rPr>
                <w:sz w:val="28"/>
                <w:szCs w:val="28"/>
              </w:rPr>
              <w:t>95%</w:t>
            </w:r>
            <w:r>
              <w:rPr>
                <w:sz w:val="28"/>
                <w:szCs w:val="28"/>
              </w:rPr>
              <w:t>以上的农户实现了清洁取暖。</w:t>
            </w:r>
          </w:p>
          <w:p w:rsidR="005011A4" w:rsidRDefault="005226AA">
            <w:pPr>
              <w:adjustRightInd w:val="0"/>
              <w:snapToGrid w:val="0"/>
              <w:spacing w:line="520" w:lineRule="exact"/>
              <w:ind w:firstLine="560"/>
              <w:textAlignment w:val="auto"/>
              <w:rPr>
                <w:sz w:val="28"/>
                <w:szCs w:val="28"/>
              </w:rPr>
            </w:pPr>
            <w:r>
              <w:rPr>
                <w:sz w:val="28"/>
                <w:szCs w:val="28"/>
              </w:rPr>
              <w:t>阳信县生物质清洁取暖改造取得了显著的经济、生态和社会效益。经济效益方面，与煤改气、煤改电相比，生物质取暖用户改造成本分别低</w:t>
            </w:r>
            <w:r>
              <w:rPr>
                <w:sz w:val="28"/>
                <w:szCs w:val="28"/>
              </w:rPr>
              <w:t>38%</w:t>
            </w:r>
            <w:r>
              <w:rPr>
                <w:sz w:val="28"/>
                <w:szCs w:val="28"/>
              </w:rPr>
              <w:t>、</w:t>
            </w:r>
            <w:r>
              <w:rPr>
                <w:sz w:val="28"/>
                <w:szCs w:val="28"/>
              </w:rPr>
              <w:t>3.2%</w:t>
            </w:r>
            <w:r>
              <w:rPr>
                <w:sz w:val="28"/>
                <w:szCs w:val="28"/>
              </w:rPr>
              <w:t>，使用成本分别低</w:t>
            </w:r>
            <w:r>
              <w:rPr>
                <w:sz w:val="28"/>
                <w:szCs w:val="28"/>
              </w:rPr>
              <w:t>52%</w:t>
            </w:r>
            <w:r>
              <w:rPr>
                <w:sz w:val="28"/>
                <w:szCs w:val="28"/>
              </w:rPr>
              <w:t>、</w:t>
            </w:r>
            <w:r>
              <w:rPr>
                <w:sz w:val="28"/>
                <w:szCs w:val="28"/>
              </w:rPr>
              <w:t>51%</w:t>
            </w:r>
            <w:r>
              <w:rPr>
                <w:sz w:val="28"/>
                <w:szCs w:val="28"/>
              </w:rPr>
              <w:t>；实现颗粒燃料年产量</w:t>
            </w:r>
            <w:r>
              <w:rPr>
                <w:sz w:val="28"/>
                <w:szCs w:val="28"/>
              </w:rPr>
              <w:t>100</w:t>
            </w:r>
            <w:r>
              <w:rPr>
                <w:sz w:val="28"/>
                <w:szCs w:val="28"/>
              </w:rPr>
              <w:t>万吨，产值达</w:t>
            </w:r>
            <w:r>
              <w:rPr>
                <w:sz w:val="28"/>
                <w:szCs w:val="28"/>
              </w:rPr>
              <w:t>12</w:t>
            </w:r>
            <w:r>
              <w:rPr>
                <w:sz w:val="28"/>
                <w:szCs w:val="28"/>
              </w:rPr>
              <w:t>亿元，生物质产业市场广阔。生态效益方面，近年来阳信县空气质量明显改善，</w:t>
            </w:r>
            <w:r>
              <w:rPr>
                <w:sz w:val="28"/>
                <w:szCs w:val="28"/>
              </w:rPr>
              <w:t xml:space="preserve">PM2.5 </w:t>
            </w:r>
            <w:r>
              <w:rPr>
                <w:sz w:val="28"/>
                <w:szCs w:val="28"/>
              </w:rPr>
              <w:t>值大幅下降，空气优良天数不断增加。</w:t>
            </w:r>
            <w:r>
              <w:rPr>
                <w:sz w:val="28"/>
                <w:szCs w:val="28"/>
              </w:rPr>
              <w:lastRenderedPageBreak/>
              <w:t>社会效益方面，农户普遍反映改用生物质清洁取暖符合农村传统生活习惯，而且操作简便、安全系数高，居住环境和体验大幅提升。</w:t>
            </w:r>
          </w:p>
        </w:tc>
      </w:tr>
      <w:bookmarkEnd w:id="3"/>
    </w:tbl>
    <w:p w:rsidR="005011A4" w:rsidRDefault="005011A4">
      <w:pPr>
        <w:spacing w:line="540" w:lineRule="exact"/>
        <w:ind w:firstLine="560"/>
        <w:rPr>
          <w:rFonts w:eastAsia="楷体"/>
          <w:sz w:val="28"/>
          <w:szCs w:val="28"/>
        </w:rPr>
      </w:pPr>
    </w:p>
    <w:p w:rsidR="005011A4" w:rsidRDefault="005226AA">
      <w:pPr>
        <w:pStyle w:val="1"/>
        <w:rPr>
          <w:rFonts w:ascii="Times New Roman"/>
        </w:rPr>
      </w:pPr>
      <w:bookmarkStart w:id="4" w:name="_Toc128756546"/>
      <w:bookmarkStart w:id="5" w:name="_Toc110078591"/>
      <w:r>
        <w:rPr>
          <w:rFonts w:ascii="Times New Roman"/>
        </w:rPr>
        <w:t>七、完善支持新能源发展的财政金融政策</w:t>
      </w:r>
      <w:bookmarkEnd w:id="4"/>
      <w:bookmarkEnd w:id="5"/>
    </w:p>
    <w:p w:rsidR="005011A4" w:rsidRDefault="005226AA">
      <w:r>
        <w:rPr>
          <w:rFonts w:ascii="方正仿宋_GBK" w:hAnsi="方正仿宋_GBK" w:hint="eastAsia"/>
        </w:rPr>
        <w:t>“</w:t>
      </w:r>
      <w:r>
        <w:t>十四五</w:t>
      </w:r>
      <w:r>
        <w:rPr>
          <w:rFonts w:ascii="方正仿宋_GBK" w:hAnsi="方正仿宋_GBK" w:hint="eastAsia"/>
        </w:rPr>
        <w:t>”</w:t>
      </w:r>
      <w:r>
        <w:t>风光等主要新能源已实现平价无补贴上网，对财政政策支持的方向和模式需求发生变化，对金融政策的需求增加，金融政策可发挥更大的作用。《实施方案》主要在以下三个方面提出完善和落实财政金融政策。</w:t>
      </w:r>
    </w:p>
    <w:p w:rsidR="005011A4" w:rsidRDefault="005226AA">
      <w:pPr>
        <w:pStyle w:val="2"/>
        <w:rPr>
          <w:rFonts w:ascii="Times New Roman"/>
        </w:rPr>
      </w:pPr>
      <w:bookmarkStart w:id="6" w:name="_Toc128756547"/>
      <w:r>
        <w:rPr>
          <w:rFonts w:ascii="Times New Roman"/>
        </w:rPr>
        <w:t>（十九）优化财政资金使用</w:t>
      </w:r>
      <w:bookmarkEnd w:id="6"/>
    </w:p>
    <w:p w:rsidR="005011A4" w:rsidRDefault="005226AA">
      <w:pPr>
        <w:adjustRightInd w:val="0"/>
        <w:snapToGrid w:val="0"/>
        <w:textAlignment w:val="auto"/>
        <w:rPr>
          <w:rFonts w:eastAsia="方正楷体_GBK"/>
        </w:rPr>
      </w:pPr>
      <w:r>
        <w:rPr>
          <w:rFonts w:eastAsia="方正楷体_GBK"/>
        </w:rPr>
        <w:t>主要政策点</w:t>
      </w:r>
      <w:r>
        <w:rPr>
          <w:rFonts w:eastAsia="方正楷体_GBK"/>
        </w:rPr>
        <w:t>1</w:t>
      </w:r>
      <w:r>
        <w:rPr>
          <w:rFonts w:eastAsia="方正楷体_GBK"/>
        </w:rPr>
        <w:t>：加强央地联动，按照以收定支原则，对部分领域予以针对性支持</w:t>
      </w:r>
    </w:p>
    <w:p w:rsidR="005011A4" w:rsidRDefault="005226AA">
      <w:r>
        <w:t>根据</w:t>
      </w:r>
      <w:r>
        <w:t>2020</w:t>
      </w:r>
      <w:r>
        <w:t>年财政部、国</w:t>
      </w:r>
      <w:r>
        <w:t>家发展改革委、国家能源局出台的系列可再生能源电价和补贴有关政策，自</w:t>
      </w:r>
      <w:r>
        <w:t>2021</w:t>
      </w:r>
      <w:r>
        <w:t>年起，国家财政资金不再为新安排的新增风电、太阳能发电（户用光伏除外）项目提供电价补贴，生物质能发电电价补贴也启动竞争配置确定电价并在几年内逐步退出电价补贴。</w:t>
      </w:r>
      <w:r>
        <w:rPr>
          <w:rFonts w:hint="eastAsia"/>
        </w:rPr>
        <w:t>自</w:t>
      </w:r>
      <w:r>
        <w:rPr>
          <w:rFonts w:hint="eastAsia"/>
        </w:rPr>
        <w:t>2022</w:t>
      </w:r>
      <w:r>
        <w:rPr>
          <w:rFonts w:hint="eastAsia"/>
        </w:rPr>
        <w:t>年起，户用光伏也全面进入无补贴阶段。</w:t>
      </w:r>
      <w:r>
        <w:t>但海上风电、光热发电、生物质能发电等发电成本仍然较高，近海风电较同省份陆上风电的价格需求高</w:t>
      </w:r>
      <w:r>
        <w:t>0.1</w:t>
      </w:r>
      <w:r>
        <w:t>元</w:t>
      </w:r>
      <w:r>
        <w:t>/</w:t>
      </w:r>
      <w:r>
        <w:t>千瓦时以上</w:t>
      </w:r>
      <w:r>
        <w:rPr>
          <w:rFonts w:hint="eastAsia"/>
        </w:rPr>
        <w:t>，</w:t>
      </w:r>
      <w:r>
        <w:t>光热发电电价需求约在</w:t>
      </w:r>
      <w:r>
        <w:t>1</w:t>
      </w:r>
      <w:r>
        <w:t>元</w:t>
      </w:r>
      <w:r>
        <w:t>/</w:t>
      </w:r>
      <w:r>
        <w:t>千瓦时的水平，农林生物质发电采购原料的费用</w:t>
      </w:r>
      <w:r>
        <w:rPr>
          <w:rFonts w:hint="eastAsia"/>
        </w:rPr>
        <w:t>也比较高</w:t>
      </w:r>
      <w:r>
        <w:t>，如果没有政策支持</w:t>
      </w:r>
      <w:r>
        <w:rPr>
          <w:rFonts w:hint="eastAsia"/>
        </w:rPr>
        <w:t>，行业发展将面临较大压力。</w:t>
      </w:r>
      <w:r>
        <w:t>国家</w:t>
      </w:r>
      <w:r>
        <w:t>和地方将通过政策联动，国家安排试点示范基地或项目，利用可</w:t>
      </w:r>
      <w:r>
        <w:lastRenderedPageBreak/>
        <w:t>再生能源发展基金、按照</w:t>
      </w:r>
      <w:r>
        <w:rPr>
          <w:rFonts w:ascii="方正仿宋_GBK" w:hAnsi="方正仿宋_GBK" w:hint="eastAsia"/>
        </w:rPr>
        <w:t>“</w:t>
      </w:r>
      <w:r>
        <w:t>以收定支</w:t>
      </w:r>
      <w:r>
        <w:rPr>
          <w:rFonts w:ascii="方正仿宋_GBK" w:hAnsi="方正仿宋_GBK" w:hint="eastAsia"/>
        </w:rPr>
        <w:t>”</w:t>
      </w:r>
      <w:r>
        <w:t>方式，地方同时配套出台财政支持政策，共同支持海上风电（重点是深远海风电）、光热发电项目建设，保持一定的市场规模。</w:t>
      </w:r>
    </w:p>
    <w:p w:rsidR="005011A4" w:rsidRDefault="005226AA">
      <w:r>
        <w:t>对于深远海风电，</w:t>
      </w:r>
      <w:r>
        <w:rPr>
          <w:rFonts w:ascii="方正仿宋_GBK" w:hAnsi="方正仿宋_GBK" w:hint="eastAsia"/>
        </w:rPr>
        <w:t>“</w:t>
      </w:r>
      <w:r>
        <w:t>十四五</w:t>
      </w:r>
      <w:r>
        <w:rPr>
          <w:rFonts w:ascii="方正仿宋_GBK" w:hAnsi="方正仿宋_GBK" w:hint="eastAsia"/>
        </w:rPr>
        <w:t>”</w:t>
      </w:r>
      <w:r>
        <w:t>期间需启动深远海风电示范，利用央地联动安排资金支持，资金规模按照以收定支方式确定，如果地方安排资金量有限，建议做好经济性预估，适度加大单位投资或度电补贴力度，并据此确定可支持的试点示范</w:t>
      </w:r>
      <w:r>
        <w:rPr>
          <w:rFonts w:hint="eastAsia"/>
        </w:rPr>
        <w:t>项目</w:t>
      </w:r>
      <w:r>
        <w:t>规模。对于光热发电，</w:t>
      </w:r>
      <w:r>
        <w:rPr>
          <w:rFonts w:ascii="方正仿宋_GBK" w:hAnsi="方正仿宋_GBK" w:hint="eastAsia"/>
        </w:rPr>
        <w:t>“</w:t>
      </w:r>
      <w:r>
        <w:t>十四五</w:t>
      </w:r>
      <w:r>
        <w:rPr>
          <w:rFonts w:ascii="方正仿宋_GBK" w:hAnsi="方正仿宋_GBK" w:hint="eastAsia"/>
        </w:rPr>
        <w:t>”</w:t>
      </w:r>
      <w:r>
        <w:t>期间国家明确政策鼓励长时储热型光热发电配套风光基地建设发展，在</w:t>
      </w:r>
      <w:r>
        <w:t>2</w:t>
      </w:r>
      <w:r>
        <w:t>021</w:t>
      </w:r>
      <w:r>
        <w:t>年第一批沙漠戈壁荒漠大型风光基地中，青海、甘肃、吉林共</w:t>
      </w:r>
      <w:r>
        <w:rPr>
          <w:rFonts w:hint="eastAsia"/>
        </w:rPr>
        <w:t>规划建设</w:t>
      </w:r>
      <w:r>
        <w:t>101</w:t>
      </w:r>
      <w:r>
        <w:t>万千瓦光热发电项目，通过基地内风电、光伏发电</w:t>
      </w:r>
      <w:r>
        <w:rPr>
          <w:rFonts w:hint="eastAsia"/>
        </w:rPr>
        <w:t>分摊光热发电成本的方式</w:t>
      </w:r>
      <w:r>
        <w:t>，实现风电光伏光热综合系统性平价上网，这是一种变相对光热发电提供经济政策支持的方式，建议地方能同时提供更直接或更多模式的</w:t>
      </w:r>
      <w:r>
        <w:rPr>
          <w:rFonts w:hint="eastAsia"/>
        </w:rPr>
        <w:t>资金</w:t>
      </w:r>
      <w:r>
        <w:t>支持政策。</w:t>
      </w: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5011A4">
        <w:trPr>
          <w:trHeight w:val="520"/>
          <w:jc w:val="center"/>
        </w:trPr>
        <w:tc>
          <w:tcPr>
            <w:tcW w:w="8744" w:type="dxa"/>
          </w:tcPr>
          <w:p w:rsidR="005011A4" w:rsidRDefault="005226AA">
            <w:pPr>
              <w:pStyle w:val="af4"/>
              <w:ind w:firstLineChars="0" w:firstLine="0"/>
              <w:rPr>
                <w:sz w:val="30"/>
                <w:szCs w:val="30"/>
              </w:rPr>
            </w:pPr>
            <w:r>
              <w:rPr>
                <w:sz w:val="30"/>
                <w:szCs w:val="30"/>
              </w:rPr>
              <w:t>案例</w:t>
            </w:r>
            <w:r>
              <w:rPr>
                <w:sz w:val="30"/>
                <w:szCs w:val="30"/>
              </w:rPr>
              <w:t>7-</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1</w:t>
            </w:r>
            <w:r>
              <w:rPr>
                <w:sz w:val="30"/>
                <w:szCs w:val="30"/>
              </w:rPr>
              <w:fldChar w:fldCharType="end"/>
            </w:r>
            <w:r>
              <w:rPr>
                <w:sz w:val="30"/>
                <w:szCs w:val="30"/>
              </w:rPr>
              <w:t>央地联动支持海上风电发展</w:t>
            </w:r>
          </w:p>
        </w:tc>
      </w:tr>
      <w:tr w:rsidR="005011A4">
        <w:trPr>
          <w:jc w:val="center"/>
        </w:trPr>
        <w:tc>
          <w:tcPr>
            <w:tcW w:w="8744" w:type="dxa"/>
          </w:tcPr>
          <w:p w:rsidR="005011A4" w:rsidRDefault="005226AA">
            <w:pPr>
              <w:spacing w:line="520" w:lineRule="exact"/>
              <w:ind w:firstLine="560"/>
              <w:textAlignment w:val="auto"/>
              <w:rPr>
                <w:rFonts w:eastAsia="仿宋_GB2312"/>
                <w:color w:val="000000"/>
                <w:sz w:val="28"/>
                <w:szCs w:val="28"/>
              </w:rPr>
            </w:pPr>
            <w:r>
              <w:rPr>
                <w:sz w:val="28"/>
                <w:szCs w:val="28"/>
              </w:rPr>
              <w:t>2022</w:t>
            </w:r>
            <w:r>
              <w:rPr>
                <w:sz w:val="28"/>
                <w:szCs w:val="28"/>
              </w:rPr>
              <w:t>年以来风电整机价格和基础及施工成本大幅度下降，近海风电在部分风能资源和海床条件好的地区具备平价上网条件。广东省、山东省和浙江省相继出台了对海上风电的补贴政策。其中，广东</w:t>
            </w:r>
            <w:r>
              <w:rPr>
                <w:rFonts w:hint="eastAsia"/>
                <w:sz w:val="28"/>
                <w:szCs w:val="28"/>
              </w:rPr>
              <w:t>、</w:t>
            </w:r>
            <w:r>
              <w:rPr>
                <w:sz w:val="28"/>
                <w:szCs w:val="28"/>
              </w:rPr>
              <w:t>山东</w:t>
            </w:r>
            <w:r>
              <w:rPr>
                <w:rFonts w:hint="eastAsia"/>
                <w:sz w:val="28"/>
                <w:szCs w:val="28"/>
              </w:rPr>
              <w:t>、上海</w:t>
            </w:r>
            <w:r>
              <w:rPr>
                <w:sz w:val="28"/>
                <w:szCs w:val="28"/>
              </w:rPr>
              <w:t>对初投资提供补贴，广东省补贴范围为</w:t>
            </w:r>
            <w:r>
              <w:rPr>
                <w:sz w:val="28"/>
                <w:szCs w:val="28"/>
              </w:rPr>
              <w:t>2018</w:t>
            </w:r>
            <w:r>
              <w:rPr>
                <w:sz w:val="28"/>
                <w:szCs w:val="28"/>
              </w:rPr>
              <w:t>年底前已完成核准、</w:t>
            </w:r>
            <w:r>
              <w:rPr>
                <w:sz w:val="28"/>
                <w:szCs w:val="28"/>
              </w:rPr>
              <w:t>2022-2024</w:t>
            </w:r>
            <w:r>
              <w:rPr>
                <w:sz w:val="28"/>
                <w:szCs w:val="28"/>
              </w:rPr>
              <w:t>年全容量并网的省管海域项目，每千瓦分别补贴</w:t>
            </w:r>
            <w:r>
              <w:rPr>
                <w:sz w:val="28"/>
                <w:szCs w:val="28"/>
              </w:rPr>
              <w:t>1500</w:t>
            </w:r>
            <w:r>
              <w:rPr>
                <w:sz w:val="28"/>
                <w:szCs w:val="28"/>
              </w:rPr>
              <w:t>元、</w:t>
            </w:r>
            <w:r>
              <w:rPr>
                <w:sz w:val="28"/>
                <w:szCs w:val="28"/>
              </w:rPr>
              <w:t>1000</w:t>
            </w:r>
            <w:r>
              <w:rPr>
                <w:sz w:val="28"/>
                <w:szCs w:val="28"/>
              </w:rPr>
              <w:t>元和</w:t>
            </w:r>
            <w:r>
              <w:rPr>
                <w:sz w:val="28"/>
                <w:szCs w:val="28"/>
              </w:rPr>
              <w:t>500</w:t>
            </w:r>
            <w:r>
              <w:rPr>
                <w:sz w:val="28"/>
                <w:szCs w:val="28"/>
              </w:rPr>
              <w:t>元</w:t>
            </w:r>
            <w:r>
              <w:rPr>
                <w:rFonts w:hint="eastAsia"/>
                <w:sz w:val="28"/>
                <w:szCs w:val="28"/>
              </w:rPr>
              <w:t>；</w:t>
            </w:r>
            <w:r>
              <w:rPr>
                <w:sz w:val="28"/>
                <w:szCs w:val="28"/>
              </w:rPr>
              <w:t>山东对于</w:t>
            </w:r>
            <w:r>
              <w:rPr>
                <w:sz w:val="28"/>
                <w:szCs w:val="28"/>
              </w:rPr>
              <w:t>2022-2024</w:t>
            </w:r>
            <w:r>
              <w:rPr>
                <w:sz w:val="28"/>
                <w:szCs w:val="28"/>
              </w:rPr>
              <w:t>年建成并网的海上风电项目，每千瓦分别补贴</w:t>
            </w:r>
            <w:r>
              <w:rPr>
                <w:sz w:val="28"/>
                <w:szCs w:val="28"/>
              </w:rPr>
              <w:t>800</w:t>
            </w:r>
            <w:r>
              <w:rPr>
                <w:sz w:val="28"/>
                <w:szCs w:val="28"/>
              </w:rPr>
              <w:t>元、</w:t>
            </w:r>
            <w:r>
              <w:rPr>
                <w:sz w:val="28"/>
                <w:szCs w:val="28"/>
              </w:rPr>
              <w:t>500</w:t>
            </w:r>
            <w:r>
              <w:rPr>
                <w:sz w:val="28"/>
                <w:szCs w:val="28"/>
              </w:rPr>
              <w:t>元和</w:t>
            </w:r>
            <w:r>
              <w:rPr>
                <w:sz w:val="28"/>
                <w:szCs w:val="28"/>
              </w:rPr>
              <w:t>300</w:t>
            </w:r>
            <w:r>
              <w:rPr>
                <w:sz w:val="28"/>
                <w:szCs w:val="28"/>
              </w:rPr>
              <w:t>元</w:t>
            </w:r>
            <w:r>
              <w:rPr>
                <w:rFonts w:hint="eastAsia"/>
                <w:sz w:val="28"/>
                <w:szCs w:val="28"/>
              </w:rPr>
              <w:t>；上海对</w:t>
            </w:r>
            <w:r>
              <w:rPr>
                <w:rFonts w:hint="eastAsia"/>
                <w:sz w:val="28"/>
                <w:szCs w:val="28"/>
              </w:rPr>
              <w:t>2022-2026</w:t>
            </w:r>
            <w:r>
              <w:rPr>
                <w:rFonts w:hint="eastAsia"/>
                <w:sz w:val="28"/>
                <w:szCs w:val="28"/>
              </w:rPr>
              <w:t>年并网的深远海海上风电和场址中心离岸距离大于等于</w:t>
            </w:r>
            <w:r>
              <w:rPr>
                <w:rFonts w:hint="eastAsia"/>
                <w:sz w:val="28"/>
                <w:szCs w:val="28"/>
              </w:rPr>
              <w:t>5</w:t>
            </w:r>
            <w:r>
              <w:rPr>
                <w:rFonts w:hint="eastAsia"/>
                <w:sz w:val="28"/>
                <w:szCs w:val="28"/>
              </w:rPr>
              <w:t>0</w:t>
            </w:r>
            <w:r>
              <w:rPr>
                <w:rFonts w:hint="eastAsia"/>
                <w:sz w:val="28"/>
                <w:szCs w:val="28"/>
              </w:rPr>
              <w:t>公里的近海风电项目，按照每千瓦</w:t>
            </w:r>
            <w:r>
              <w:rPr>
                <w:rFonts w:hint="eastAsia"/>
                <w:sz w:val="28"/>
                <w:szCs w:val="28"/>
              </w:rPr>
              <w:t>500</w:t>
            </w:r>
            <w:r>
              <w:rPr>
                <w:rFonts w:hint="eastAsia"/>
                <w:sz w:val="28"/>
                <w:szCs w:val="28"/>
              </w:rPr>
              <w:t>元补贴</w:t>
            </w:r>
            <w:r>
              <w:rPr>
                <w:sz w:val="28"/>
                <w:szCs w:val="28"/>
              </w:rPr>
              <w:t>；浙江对于</w:t>
            </w:r>
            <w:r>
              <w:rPr>
                <w:sz w:val="28"/>
                <w:szCs w:val="28"/>
              </w:rPr>
              <w:t>2022</w:t>
            </w:r>
            <w:r>
              <w:rPr>
                <w:sz w:val="28"/>
                <w:szCs w:val="28"/>
              </w:rPr>
              <w:t>和</w:t>
            </w:r>
            <w:r>
              <w:rPr>
                <w:sz w:val="28"/>
                <w:szCs w:val="28"/>
              </w:rPr>
              <w:t>2023</w:t>
            </w:r>
            <w:r>
              <w:rPr>
                <w:sz w:val="28"/>
                <w:szCs w:val="28"/>
              </w:rPr>
              <w:t>年全容量并网的</w:t>
            </w:r>
            <w:r>
              <w:rPr>
                <w:sz w:val="28"/>
                <w:szCs w:val="28"/>
              </w:rPr>
              <w:lastRenderedPageBreak/>
              <w:t>项目分别给予</w:t>
            </w:r>
            <w:r>
              <w:rPr>
                <w:sz w:val="28"/>
                <w:szCs w:val="28"/>
              </w:rPr>
              <w:t>0.03</w:t>
            </w:r>
            <w:r>
              <w:rPr>
                <w:sz w:val="28"/>
                <w:szCs w:val="28"/>
              </w:rPr>
              <w:t>元</w:t>
            </w:r>
            <w:r>
              <w:rPr>
                <w:sz w:val="28"/>
                <w:szCs w:val="28"/>
              </w:rPr>
              <w:t>/</w:t>
            </w:r>
            <w:r>
              <w:rPr>
                <w:sz w:val="28"/>
                <w:szCs w:val="28"/>
              </w:rPr>
              <w:t>千瓦时和</w:t>
            </w:r>
            <w:r>
              <w:rPr>
                <w:sz w:val="28"/>
                <w:szCs w:val="28"/>
              </w:rPr>
              <w:t>0.015</w:t>
            </w:r>
            <w:r>
              <w:rPr>
                <w:sz w:val="28"/>
                <w:szCs w:val="28"/>
              </w:rPr>
              <w:t>元</w:t>
            </w:r>
            <w:r>
              <w:rPr>
                <w:sz w:val="28"/>
                <w:szCs w:val="28"/>
              </w:rPr>
              <w:t>/</w:t>
            </w:r>
            <w:r>
              <w:rPr>
                <w:sz w:val="28"/>
                <w:szCs w:val="28"/>
              </w:rPr>
              <w:t>千瓦时的度电补贴，补贴期限</w:t>
            </w:r>
            <w:r>
              <w:rPr>
                <w:sz w:val="28"/>
                <w:szCs w:val="28"/>
              </w:rPr>
              <w:t>10</w:t>
            </w:r>
            <w:r>
              <w:rPr>
                <w:sz w:val="28"/>
                <w:szCs w:val="28"/>
              </w:rPr>
              <w:t>年。地方投资或电价补贴政策可以为近海风电发展助力，为</w:t>
            </w:r>
            <w:r>
              <w:rPr>
                <w:rFonts w:ascii="方正仿宋_GBK" w:hAnsi="方正仿宋_GBK" w:hint="eastAsia"/>
                <w:sz w:val="28"/>
                <w:szCs w:val="28"/>
              </w:rPr>
              <w:t>“</w:t>
            </w:r>
            <w:r>
              <w:rPr>
                <w:sz w:val="28"/>
                <w:szCs w:val="28"/>
              </w:rPr>
              <w:t>十四五</w:t>
            </w:r>
            <w:r>
              <w:rPr>
                <w:rFonts w:ascii="方正仿宋_GBK" w:hAnsi="方正仿宋_GBK" w:hint="eastAsia"/>
                <w:sz w:val="28"/>
                <w:szCs w:val="28"/>
              </w:rPr>
              <w:t>”</w:t>
            </w:r>
            <w:r>
              <w:rPr>
                <w:sz w:val="28"/>
                <w:szCs w:val="28"/>
              </w:rPr>
              <w:t>期间海上风电建设提供基础规模。对于技术要求和成本更高</w:t>
            </w:r>
            <w:r>
              <w:rPr>
                <w:rFonts w:hint="eastAsia"/>
                <w:sz w:val="28"/>
                <w:szCs w:val="28"/>
              </w:rPr>
              <w:t>的</w:t>
            </w:r>
            <w:r>
              <w:rPr>
                <w:sz w:val="28"/>
                <w:szCs w:val="28"/>
              </w:rPr>
              <w:t>深远海风电，上述三个省份的支持力度还远不够支撑其经济性，需要通过央地政策联动，由国家安排深远海风电试点示范基地或项目，比如国家可在可再生能源发展基金或清洁能源资金的增量资金中安排，地方同时提供类似支持近海风电的补贴方式，支持深远海风电</w:t>
            </w:r>
            <w:r>
              <w:rPr>
                <w:sz w:val="28"/>
                <w:szCs w:val="28"/>
              </w:rPr>
              <w:t>项目示范建设。</w:t>
            </w:r>
          </w:p>
        </w:tc>
      </w:tr>
    </w:tbl>
    <w:p w:rsidR="005011A4" w:rsidRDefault="005011A4">
      <w:pPr>
        <w:rPr>
          <w:rFonts w:eastAsia="楷体"/>
        </w:rPr>
      </w:pPr>
    </w:p>
    <w:p w:rsidR="005011A4" w:rsidRDefault="005226AA">
      <w:pPr>
        <w:adjustRightInd w:val="0"/>
        <w:snapToGrid w:val="0"/>
        <w:textAlignment w:val="auto"/>
        <w:rPr>
          <w:rFonts w:eastAsia="方正楷体_GBK"/>
        </w:rPr>
      </w:pPr>
      <w:r>
        <w:rPr>
          <w:rFonts w:eastAsia="方正楷体_GBK"/>
        </w:rPr>
        <w:t>主要政策点</w:t>
      </w:r>
      <w:r>
        <w:rPr>
          <w:rFonts w:eastAsia="方正楷体_GBK"/>
        </w:rPr>
        <w:t>2</w:t>
      </w:r>
      <w:r>
        <w:rPr>
          <w:rFonts w:eastAsia="方正楷体_GBK"/>
        </w:rPr>
        <w:t>：全面落实税务部门征收可再生能源发展基金有关要求，确保应收尽收。利用好现有资金渠道支持新能源发展。</w:t>
      </w:r>
    </w:p>
    <w:p w:rsidR="005011A4" w:rsidRDefault="005226AA">
      <w:r>
        <w:t>依据《可再生能源法》，我国自</w:t>
      </w:r>
      <w:r>
        <w:t>2006</w:t>
      </w:r>
      <w:r>
        <w:t>年</w:t>
      </w:r>
      <w:r>
        <w:t>6</w:t>
      </w:r>
      <w:r>
        <w:t>月</w:t>
      </w:r>
      <w:r>
        <w:t>30</w:t>
      </w:r>
      <w:r>
        <w:t>日开始征收可再生能源电价附加，采用随终端用户电费征收方式，资金用于支付可再生能源上网电价与燃煤标杆</w:t>
      </w:r>
      <w:r>
        <w:t>/</w:t>
      </w:r>
      <w:r>
        <w:t>基准价之差，或支付基于可再生能源电量的度电补贴。随着可再生能源发展规模扩大，电价补贴资金需求增加，可再生能源电价附加经历五次调整，从最初的</w:t>
      </w:r>
      <w:r>
        <w:t>1</w:t>
      </w:r>
      <w:r>
        <w:t>厘</w:t>
      </w:r>
      <w:r>
        <w:t>/</w:t>
      </w:r>
      <w:r>
        <w:t>千瓦时增加到</w:t>
      </w:r>
      <w:r>
        <w:t>2016</w:t>
      </w:r>
      <w:r>
        <w:t>年的</w:t>
      </w:r>
      <w:r>
        <w:t>1.9</w:t>
      </w:r>
      <w:r>
        <w:t>分</w:t>
      </w:r>
      <w:r>
        <w:t>/</w:t>
      </w:r>
      <w:r>
        <w:t>千瓦时，对农业生产用电和西藏用电予以免收，居民用户电价附</w:t>
      </w:r>
      <w:r>
        <w:t>加标准，各省份执行标准不同（</w:t>
      </w:r>
      <w:r>
        <w:t>0-0.8</w:t>
      </w:r>
      <w:r>
        <w:t>分</w:t>
      </w:r>
      <w:r>
        <w:t>/</w:t>
      </w:r>
      <w:r>
        <w:t>千瓦时）。</w:t>
      </w:r>
      <w:r>
        <w:t>2012</w:t>
      </w:r>
      <w:r>
        <w:t>年前，可再生能源电价附加收取和补贴发放都是在省级电网企业层面完成的，</w:t>
      </w:r>
      <w:r>
        <w:t>2011</w:t>
      </w:r>
      <w:r>
        <w:t>年底财政部设立了可再生能源发展基金，</w:t>
      </w:r>
      <w:r>
        <w:t>2012</w:t>
      </w:r>
      <w:r>
        <w:t>年开始可再生能源电价附加的征收和电价补贴发放改为由可再生能源发展基金完成，按照基金管理模式操作。近年来在可再生能源电价补贴持续存在当年和累计资金缺口的情况下，国家财政</w:t>
      </w:r>
      <w:r>
        <w:lastRenderedPageBreak/>
        <w:t>管理部门益发重视可再生能源电价附加的征收工作，征收比例不断提高，基本上通过电网企业（</w:t>
      </w:r>
      <w:r>
        <w:rPr>
          <w:rFonts w:hint="eastAsia"/>
        </w:rPr>
        <w:t>国家电网公司</w:t>
      </w:r>
      <w:r>
        <w:t>、南网、内蒙古电力、地方电网等）代收的部分做到了应收尽收，应收未收资金</w:t>
      </w:r>
      <w:r>
        <w:t>主要在个别省份未按照国家要求的附加标准执行以及自备电厂未应缴尽缴。</w:t>
      </w:r>
    </w:p>
    <w:p w:rsidR="005011A4" w:rsidRDefault="005226AA">
      <w:r>
        <w:t>为了进一步提高征缴比例，</w:t>
      </w:r>
      <w:r>
        <w:t>2018</w:t>
      </w:r>
      <w:r>
        <w:t>年</w:t>
      </w:r>
      <w:r>
        <w:t>12</w:t>
      </w:r>
      <w:r>
        <w:t>月财政部发布《财政部关于将国家重大水利工程建设基金等政府非税收入项目划转税务部门征收的通知》（财税〔</w:t>
      </w:r>
      <w:r>
        <w:t>2018</w:t>
      </w:r>
      <w:r>
        <w:t>〕</w:t>
      </w:r>
      <w:r>
        <w:t>147</w:t>
      </w:r>
      <w:r>
        <w:t>号），将可再生能源电价附加等政府非税收入项目征管职责进行了调整，由原来的财政部驻地方财政监察专员办事处负责征收，划转至税务部门征收，以前年度应缴未缴的也由税务部门负责征缴入库，自</w:t>
      </w:r>
      <w:r>
        <w:t>2019</w:t>
      </w:r>
      <w:r>
        <w:t>年开始执行。</w:t>
      </w:r>
      <w:r>
        <w:t>2020</w:t>
      </w:r>
      <w:r>
        <w:t>年下半年，北京、山西、山东（含青岛）、江苏、浙江（含宁波）、广东（含深圳）六省市开展</w:t>
      </w:r>
      <w:r>
        <w:t>可再生能源发展基金明细申报管理试点，以加强对自备电厂的电价附加征收力度。政策实施取得了成效，</w:t>
      </w:r>
      <w:r>
        <w:t>2020</w:t>
      </w:r>
      <w:r>
        <w:t>年以来资金征收比例超过了</w:t>
      </w:r>
      <w:r>
        <w:t>90%</w:t>
      </w:r>
      <w:r>
        <w:t>。《实施方案》中提出要全面落实税务部门征收可再生能源发展基金有关要求，下一步应将可再生能源发展基金明细申报管理试点范围扩展至所有省份，对重点领域和相关企业加强电价附加征收管理，做到基金应收尽收。</w:t>
      </w:r>
    </w:p>
    <w:p w:rsidR="005011A4" w:rsidRDefault="005226AA">
      <w:pPr>
        <w:rPr>
          <w:color w:val="000000"/>
        </w:rPr>
      </w:pPr>
      <w:r>
        <w:t>可再生能源发展基金是支持新能源发展的稳定的资金渠道和来源，主要用于存量可再生能源项目电价补贴，随着全社会用电量的增加，基金每年会有资金增量。下一步将对如何利用好增量资金、最大程度地发挥支</w:t>
      </w:r>
      <w:r>
        <w:t>持新能源发展的作用进行认真研究设计，比如上一个政策点分析所述，可以考虑按照</w:t>
      </w:r>
      <w:r>
        <w:rPr>
          <w:rFonts w:ascii="方正仿宋_GBK" w:hAnsi="方正仿宋_GBK" w:hint="eastAsia"/>
        </w:rPr>
        <w:t>“</w:t>
      </w:r>
      <w:r>
        <w:t>以收定支</w:t>
      </w:r>
      <w:r>
        <w:rPr>
          <w:rFonts w:ascii="方正仿宋_GBK" w:hAnsi="方正仿宋_GBK" w:hint="eastAsia"/>
        </w:rPr>
        <w:t>”</w:t>
      </w:r>
      <w:r>
        <w:t>方式，央地联动，</w:t>
      </w:r>
      <w:r>
        <w:lastRenderedPageBreak/>
        <w:t>支持特定领域和一定规模的新能源电力发展。此外，清洁能源专项资金是由可再</w:t>
      </w:r>
      <w:r>
        <w:rPr>
          <w:color w:val="000000"/>
        </w:rPr>
        <w:t>生能源发展资金等几个专项资金合并而来，也将进一步管好用好，继续发挥在支持可再生能源技术研发、标准制定、示范工程、资源勘查、信息系统建设、促进设备本地化生产等方面的作用。</w:t>
      </w: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5011A4">
        <w:trPr>
          <w:trHeight w:val="520"/>
          <w:jc w:val="center"/>
        </w:trPr>
        <w:tc>
          <w:tcPr>
            <w:tcW w:w="8744" w:type="dxa"/>
          </w:tcPr>
          <w:p w:rsidR="005011A4" w:rsidRDefault="005226AA">
            <w:pPr>
              <w:pStyle w:val="af4"/>
              <w:ind w:firstLineChars="0" w:firstLine="0"/>
              <w:rPr>
                <w:sz w:val="30"/>
                <w:szCs w:val="30"/>
              </w:rPr>
            </w:pPr>
            <w:r>
              <w:rPr>
                <w:sz w:val="30"/>
                <w:szCs w:val="30"/>
              </w:rPr>
              <w:t>案例</w:t>
            </w:r>
            <w:r>
              <w:rPr>
                <w:sz w:val="30"/>
                <w:szCs w:val="30"/>
              </w:rPr>
              <w:t>7-</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2</w:t>
            </w:r>
            <w:r>
              <w:rPr>
                <w:sz w:val="30"/>
                <w:szCs w:val="30"/>
              </w:rPr>
              <w:fldChar w:fldCharType="end"/>
            </w:r>
            <w:r>
              <w:rPr>
                <w:sz w:val="30"/>
                <w:szCs w:val="30"/>
              </w:rPr>
              <w:t>清洁能源发展专项资金应加大对新能源的支持</w:t>
            </w:r>
          </w:p>
        </w:tc>
      </w:tr>
      <w:tr w:rsidR="005011A4">
        <w:trPr>
          <w:jc w:val="center"/>
        </w:trPr>
        <w:tc>
          <w:tcPr>
            <w:tcW w:w="8744" w:type="dxa"/>
          </w:tcPr>
          <w:p w:rsidR="005011A4" w:rsidRDefault="005226AA">
            <w:pPr>
              <w:spacing w:line="520" w:lineRule="exact"/>
              <w:ind w:firstLine="560"/>
              <w:textAlignment w:val="auto"/>
              <w:rPr>
                <w:rFonts w:eastAsia="仿宋_GB2312"/>
                <w:color w:val="000000"/>
                <w:sz w:val="28"/>
                <w:szCs w:val="28"/>
              </w:rPr>
            </w:pPr>
            <w:r>
              <w:rPr>
                <w:sz w:val="28"/>
                <w:szCs w:val="28"/>
              </w:rPr>
              <w:t>根据《可再生能源法》的要求，</w:t>
            </w:r>
            <w:r>
              <w:rPr>
                <w:sz w:val="28"/>
                <w:szCs w:val="28"/>
              </w:rPr>
              <w:t>2006</w:t>
            </w:r>
            <w:r>
              <w:rPr>
                <w:sz w:val="28"/>
                <w:szCs w:val="28"/>
              </w:rPr>
              <w:t>年国家财政主管部门设立了可再生能源发展专项资金，先后支持了兆瓦级风机制造、金太阳工程、太阳能光电建筑应用示范等。</w:t>
            </w:r>
            <w:r>
              <w:rPr>
                <w:sz w:val="28"/>
                <w:szCs w:val="28"/>
              </w:rPr>
              <w:t>2015</w:t>
            </w:r>
            <w:r>
              <w:rPr>
                <w:sz w:val="28"/>
                <w:szCs w:val="28"/>
              </w:rPr>
              <w:t>年财政部将支持页岩气、煤层气、致密气等专项资金合并到可再生能源发展专项资金中，</w:t>
            </w:r>
            <w:r>
              <w:rPr>
                <w:sz w:val="28"/>
                <w:szCs w:val="28"/>
              </w:rPr>
              <w:t>2020</w:t>
            </w:r>
            <w:r>
              <w:rPr>
                <w:sz w:val="28"/>
                <w:szCs w:val="28"/>
              </w:rPr>
              <w:t>年再将其更名为清洁能源发展资金。近几年清洁能源发展资金主要支持领域为非常规天然气</w:t>
            </w:r>
            <w:r>
              <w:rPr>
                <w:rFonts w:hint="eastAsia"/>
                <w:sz w:val="28"/>
                <w:szCs w:val="28"/>
              </w:rPr>
              <w:t>开采利用</w:t>
            </w:r>
            <w:r>
              <w:rPr>
                <w:sz w:val="28"/>
                <w:szCs w:val="28"/>
              </w:rPr>
              <w:t>、农村水电增效扩容改造、生物乙醇燃料，后二者属于可再生能源范畴，但近几年的支持资金占资金总额比例不到</w:t>
            </w:r>
            <w:r>
              <w:rPr>
                <w:sz w:val="28"/>
                <w:szCs w:val="28"/>
              </w:rPr>
              <w:t>20%</w:t>
            </w:r>
            <w:r>
              <w:rPr>
                <w:sz w:val="28"/>
                <w:szCs w:val="28"/>
              </w:rPr>
              <w:t>。新能源从原料、到处理技术，再到能源产品，类别多，覆盖广，一些技术和产品在构</w:t>
            </w:r>
            <w:r>
              <w:rPr>
                <w:sz w:val="28"/>
                <w:szCs w:val="28"/>
              </w:rPr>
              <w:t>建清洁能源系统中有优势，未来有发挥作用的潜力和空间，但目前在技术和产业上可能存在障碍，清洁能源发展专项资金应选择好适宜的</w:t>
            </w:r>
            <w:r>
              <w:rPr>
                <w:rFonts w:hint="eastAsia"/>
                <w:sz w:val="28"/>
                <w:szCs w:val="28"/>
              </w:rPr>
              <w:t>方向</w:t>
            </w:r>
            <w:r>
              <w:rPr>
                <w:sz w:val="28"/>
                <w:szCs w:val="28"/>
              </w:rPr>
              <w:t>，有力度、有针对性安排资金，加大对新能源的支持。</w:t>
            </w:r>
          </w:p>
        </w:tc>
      </w:tr>
    </w:tbl>
    <w:p w:rsidR="005011A4" w:rsidRDefault="005011A4">
      <w:pPr>
        <w:rPr>
          <w:color w:val="000000"/>
        </w:rPr>
      </w:pPr>
    </w:p>
    <w:p w:rsidR="005011A4" w:rsidRDefault="005226AA">
      <w:pPr>
        <w:adjustRightInd w:val="0"/>
        <w:snapToGrid w:val="0"/>
        <w:textAlignment w:val="auto"/>
        <w:rPr>
          <w:rFonts w:eastAsia="方正楷体_GBK"/>
        </w:rPr>
      </w:pPr>
      <w:r>
        <w:rPr>
          <w:rFonts w:eastAsia="方正楷体_GBK"/>
        </w:rPr>
        <w:t>主要政策点</w:t>
      </w:r>
      <w:r>
        <w:rPr>
          <w:rFonts w:eastAsia="方正楷体_GBK"/>
        </w:rPr>
        <w:t>3</w:t>
      </w:r>
      <w:r>
        <w:rPr>
          <w:rFonts w:eastAsia="方正楷体_GBK"/>
        </w:rPr>
        <w:t>：研究将新能源领域符合条件的公益性建设项目纳入地方政府债券支持范围。</w:t>
      </w:r>
    </w:p>
    <w:p w:rsidR="005011A4" w:rsidRDefault="005226AA">
      <w:pPr>
        <w:rPr>
          <w:color w:val="000000"/>
        </w:rPr>
      </w:pPr>
      <w:r>
        <w:rPr>
          <w:color w:val="000000"/>
        </w:rPr>
        <w:t>为应对经济下行压力和疫情冲击影响，国家财政主管部门在</w:t>
      </w:r>
      <w:r>
        <w:rPr>
          <w:color w:val="000000"/>
        </w:rPr>
        <w:t>2020-2022</w:t>
      </w:r>
      <w:r>
        <w:rPr>
          <w:color w:val="000000"/>
        </w:rPr>
        <w:t>年三年共安排新增专项债券额度</w:t>
      </w:r>
      <w:r>
        <w:rPr>
          <w:color w:val="000000"/>
        </w:rPr>
        <w:t>11.05</w:t>
      </w:r>
      <w:r>
        <w:rPr>
          <w:color w:val="000000"/>
        </w:rPr>
        <w:t>万亿元。</w:t>
      </w:r>
      <w:r>
        <w:rPr>
          <w:color w:val="000000"/>
        </w:rPr>
        <w:t>2022</w:t>
      </w:r>
      <w:r>
        <w:rPr>
          <w:color w:val="000000"/>
        </w:rPr>
        <w:t>年</w:t>
      </w:r>
      <w:r>
        <w:rPr>
          <w:color w:val="000000"/>
        </w:rPr>
        <w:lastRenderedPageBreak/>
        <w:t>采取了更加积极的政策措施，提前谋划、靠前安排当年专项债券发行使用工作，前</w:t>
      </w:r>
      <w:r>
        <w:rPr>
          <w:color w:val="000000"/>
        </w:rPr>
        <w:t>5</w:t>
      </w:r>
      <w:r>
        <w:rPr>
          <w:color w:val="000000"/>
        </w:rPr>
        <w:t>个月累计发行新增专项债券</w:t>
      </w:r>
      <w:r>
        <w:rPr>
          <w:color w:val="000000"/>
        </w:rPr>
        <w:t>2.03</w:t>
      </w:r>
      <w:r>
        <w:rPr>
          <w:color w:val="000000"/>
        </w:rPr>
        <w:t>万亿元，充分发挥专项</w:t>
      </w:r>
      <w:r>
        <w:rPr>
          <w:color w:val="000000"/>
        </w:rPr>
        <w:t>债券在稳投资、稳增长中的积极作用。</w:t>
      </w:r>
      <w:r>
        <w:rPr>
          <w:color w:val="000000"/>
        </w:rPr>
        <w:t>2022</w:t>
      </w:r>
      <w:r>
        <w:rPr>
          <w:color w:val="000000"/>
        </w:rPr>
        <w:t>年</w:t>
      </w:r>
      <w:r>
        <w:rPr>
          <w:color w:val="000000"/>
        </w:rPr>
        <w:t>5</w:t>
      </w:r>
      <w:r>
        <w:rPr>
          <w:color w:val="000000"/>
        </w:rPr>
        <w:t>月</w:t>
      </w:r>
      <w:r>
        <w:rPr>
          <w:color w:val="000000"/>
        </w:rPr>
        <w:t>31</w:t>
      </w:r>
      <w:r>
        <w:rPr>
          <w:color w:val="000000"/>
        </w:rPr>
        <w:t>日，《国务院</w:t>
      </w:r>
      <w:r>
        <w:rPr>
          <w:rFonts w:hint="eastAsia"/>
          <w:color w:val="000000"/>
        </w:rPr>
        <w:t>关于</w:t>
      </w:r>
      <w:r>
        <w:rPr>
          <w:color w:val="000000"/>
        </w:rPr>
        <w:t>印发扎实稳住经济一揽子政策措施</w:t>
      </w:r>
      <w:r>
        <w:rPr>
          <w:rFonts w:hint="eastAsia"/>
          <w:color w:val="000000"/>
        </w:rPr>
        <w:t>的通知</w:t>
      </w:r>
      <w:r>
        <w:rPr>
          <w:color w:val="000000"/>
        </w:rPr>
        <w:t>》</w:t>
      </w:r>
      <w:r>
        <w:rPr>
          <w:rFonts w:hint="eastAsia"/>
          <w:color w:val="000000"/>
        </w:rPr>
        <w:t>（国发〔</w:t>
      </w:r>
      <w:r>
        <w:rPr>
          <w:rFonts w:hint="eastAsia"/>
          <w:color w:val="000000"/>
        </w:rPr>
        <w:t>2022</w:t>
      </w:r>
      <w:r>
        <w:rPr>
          <w:rFonts w:hint="eastAsia"/>
          <w:color w:val="000000"/>
        </w:rPr>
        <w:t>〕</w:t>
      </w:r>
      <w:r>
        <w:rPr>
          <w:rFonts w:hint="eastAsia"/>
          <w:color w:val="000000"/>
        </w:rPr>
        <w:t>12</w:t>
      </w:r>
      <w:r>
        <w:rPr>
          <w:rFonts w:hint="eastAsia"/>
          <w:color w:val="000000"/>
        </w:rPr>
        <w:t>号）</w:t>
      </w:r>
      <w:r>
        <w:rPr>
          <w:color w:val="000000"/>
        </w:rPr>
        <w:t>，要求各地区各部门认真贯彻执行，其中提出：在依法合规、风险可控的前提下，财政部会同人民银行、银保监会引导商业银行对符合条件的专项债券项目建设主体提供配套支持，做好信贷资金和专项债资金的有效衔接；在前期确定的交通基础设施、能源、保障性安居工程等</w:t>
      </w:r>
      <w:r>
        <w:rPr>
          <w:color w:val="000000"/>
        </w:rPr>
        <w:t>9</w:t>
      </w:r>
      <w:r>
        <w:rPr>
          <w:color w:val="000000"/>
        </w:rPr>
        <w:t>大领域基础上，适当扩大专项债券支持领域，优先考虑将新型基础设施、新能源项目等纳入支持范围。</w:t>
      </w:r>
      <w:r>
        <w:rPr>
          <w:rFonts w:hint="eastAsia"/>
          <w:color w:val="000000"/>
        </w:rPr>
        <w:t>2022</w:t>
      </w:r>
      <w:r>
        <w:rPr>
          <w:rFonts w:hint="eastAsia"/>
          <w:color w:val="000000"/>
        </w:rPr>
        <w:t>年</w:t>
      </w:r>
      <w:r>
        <w:rPr>
          <w:rFonts w:hint="eastAsia"/>
          <w:color w:val="000000"/>
        </w:rPr>
        <w:t>9</w:t>
      </w:r>
      <w:r>
        <w:rPr>
          <w:rFonts w:hint="eastAsia"/>
          <w:color w:val="000000"/>
        </w:rPr>
        <w:t>月</w:t>
      </w:r>
      <w:r>
        <w:rPr>
          <w:rFonts w:hint="eastAsia"/>
          <w:color w:val="000000"/>
        </w:rPr>
        <w:t>15</w:t>
      </w:r>
      <w:r>
        <w:rPr>
          <w:rFonts w:hint="eastAsia"/>
          <w:color w:val="000000"/>
        </w:rPr>
        <w:t>日，国家发展改革委印发《关于盘活地方政府专项债务限额存量做好专项债券有关工作的通知》（发改投资〔</w:t>
      </w:r>
      <w:r>
        <w:rPr>
          <w:rFonts w:hint="eastAsia"/>
          <w:color w:val="000000"/>
        </w:rPr>
        <w:t>2022</w:t>
      </w:r>
      <w:r>
        <w:rPr>
          <w:rFonts w:hint="eastAsia"/>
          <w:color w:val="000000"/>
        </w:rPr>
        <w:t>〕</w:t>
      </w:r>
      <w:r>
        <w:rPr>
          <w:rFonts w:hint="eastAsia"/>
          <w:color w:val="000000"/>
        </w:rPr>
        <w:t>1440</w:t>
      </w:r>
      <w:r>
        <w:rPr>
          <w:rFonts w:hint="eastAsia"/>
          <w:color w:val="000000"/>
        </w:rPr>
        <w:t>号），已将有关新能源项目纳入专项债券支持范围。</w:t>
      </w:r>
    </w:p>
    <w:p w:rsidR="005011A4" w:rsidRDefault="005226AA">
      <w:pPr>
        <w:rPr>
          <w:color w:val="000000"/>
        </w:rPr>
      </w:pPr>
      <w:r>
        <w:rPr>
          <w:color w:val="000000"/>
        </w:rPr>
        <w:t>专项债券是落实积极财政政策的重要抓手，在带动扩大有效投资、稳定宏观经济等方面发挥着重要作用。发展新能源是支撑碳达峰碳中和的重要途径之一，可以有效带动相关产业上下游投资、促进经济发展。地方应按照</w:t>
      </w:r>
      <w:r>
        <w:rPr>
          <w:rFonts w:hint="eastAsia"/>
          <w:color w:val="000000"/>
        </w:rPr>
        <w:t>扩大后的地方政府专项债券支持范围，</w:t>
      </w:r>
      <w:r>
        <w:rPr>
          <w:color w:val="000000"/>
        </w:rPr>
        <w:t>建立协同机制，推进债券支持</w:t>
      </w:r>
      <w:r>
        <w:rPr>
          <w:rFonts w:hint="eastAsia"/>
          <w:color w:val="000000"/>
        </w:rPr>
        <w:t>新能源领域</w:t>
      </w:r>
      <w:r>
        <w:rPr>
          <w:color w:val="000000"/>
        </w:rPr>
        <w:t>项目的落地。</w:t>
      </w: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5011A4">
        <w:trPr>
          <w:trHeight w:val="520"/>
          <w:jc w:val="center"/>
        </w:trPr>
        <w:tc>
          <w:tcPr>
            <w:tcW w:w="8744" w:type="dxa"/>
          </w:tcPr>
          <w:p w:rsidR="005011A4" w:rsidRDefault="005226AA">
            <w:pPr>
              <w:pStyle w:val="af4"/>
              <w:ind w:firstLineChars="0" w:firstLine="0"/>
              <w:rPr>
                <w:sz w:val="30"/>
                <w:szCs w:val="30"/>
              </w:rPr>
            </w:pPr>
            <w:r>
              <w:rPr>
                <w:sz w:val="30"/>
                <w:szCs w:val="30"/>
              </w:rPr>
              <w:t>案例</w:t>
            </w:r>
            <w:r>
              <w:rPr>
                <w:sz w:val="30"/>
                <w:szCs w:val="30"/>
              </w:rPr>
              <w:t>7-</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3</w:t>
            </w:r>
            <w:r>
              <w:rPr>
                <w:sz w:val="30"/>
                <w:szCs w:val="30"/>
              </w:rPr>
              <w:fldChar w:fldCharType="end"/>
            </w:r>
            <w:r>
              <w:rPr>
                <w:sz w:val="30"/>
                <w:szCs w:val="30"/>
              </w:rPr>
              <w:t>地方</w:t>
            </w:r>
            <w:r>
              <w:rPr>
                <w:rFonts w:hint="eastAsia"/>
                <w:sz w:val="30"/>
                <w:szCs w:val="30"/>
              </w:rPr>
              <w:t>积极推进专项债券项目落地</w:t>
            </w:r>
          </w:p>
        </w:tc>
      </w:tr>
      <w:tr w:rsidR="005011A4">
        <w:trPr>
          <w:jc w:val="center"/>
        </w:trPr>
        <w:tc>
          <w:tcPr>
            <w:tcW w:w="8744" w:type="dxa"/>
          </w:tcPr>
          <w:p w:rsidR="005011A4" w:rsidRDefault="005226AA">
            <w:pPr>
              <w:spacing w:line="520" w:lineRule="exact"/>
              <w:ind w:firstLine="560"/>
              <w:textAlignment w:val="auto"/>
              <w:rPr>
                <w:rFonts w:eastAsia="仿宋_GB2312"/>
                <w:color w:val="000000"/>
                <w:sz w:val="28"/>
                <w:szCs w:val="28"/>
              </w:rPr>
            </w:pPr>
            <w:r>
              <w:rPr>
                <w:sz w:val="28"/>
                <w:szCs w:val="28"/>
              </w:rPr>
              <w:t>为落实《</w:t>
            </w:r>
            <w:r>
              <w:rPr>
                <w:rFonts w:hint="eastAsia"/>
                <w:sz w:val="28"/>
                <w:szCs w:val="28"/>
              </w:rPr>
              <w:t>国务院关于印发</w:t>
            </w:r>
            <w:r>
              <w:rPr>
                <w:sz w:val="28"/>
                <w:szCs w:val="28"/>
              </w:rPr>
              <w:t>扎实稳住经济一揽子政策措施</w:t>
            </w:r>
            <w:r>
              <w:rPr>
                <w:rFonts w:hint="eastAsia"/>
                <w:sz w:val="28"/>
                <w:szCs w:val="28"/>
              </w:rPr>
              <w:t>的通知</w:t>
            </w:r>
            <w:r>
              <w:rPr>
                <w:sz w:val="28"/>
                <w:szCs w:val="28"/>
              </w:rPr>
              <w:t>》和《实施方案》要求，一些省份</w:t>
            </w:r>
            <w:r>
              <w:rPr>
                <w:rFonts w:hint="eastAsia"/>
                <w:sz w:val="28"/>
                <w:szCs w:val="28"/>
              </w:rPr>
              <w:t>按照国家发展改革委</w:t>
            </w:r>
            <w:r>
              <w:rPr>
                <w:rFonts w:hint="eastAsia"/>
                <w:sz w:val="28"/>
                <w:szCs w:val="28"/>
              </w:rPr>
              <w:t>1440</w:t>
            </w:r>
            <w:r>
              <w:rPr>
                <w:rFonts w:hint="eastAsia"/>
                <w:sz w:val="28"/>
                <w:szCs w:val="28"/>
              </w:rPr>
              <w:t>号文件确定的新能源领域支持范围加大力度推进专项债券项目落地实施</w:t>
            </w:r>
            <w:r>
              <w:rPr>
                <w:sz w:val="28"/>
                <w:szCs w:val="28"/>
              </w:rPr>
              <w:t>，如西北某</w:t>
            </w:r>
            <w:r>
              <w:rPr>
                <w:sz w:val="28"/>
                <w:szCs w:val="28"/>
              </w:rPr>
              <w:lastRenderedPageBreak/>
              <w:t>省份</w:t>
            </w:r>
            <w:r>
              <w:rPr>
                <w:rFonts w:hint="eastAsia"/>
                <w:sz w:val="28"/>
                <w:szCs w:val="28"/>
              </w:rPr>
              <w:t>积极储备一批</w:t>
            </w:r>
            <w:r>
              <w:rPr>
                <w:sz w:val="28"/>
                <w:szCs w:val="28"/>
              </w:rPr>
              <w:t>深远海风电及其送出工程、村镇太阳能、地热、生物质等可再生能源供热、边远地区离网型新能源微电网等</w:t>
            </w:r>
            <w:r>
              <w:rPr>
                <w:rFonts w:hint="eastAsia"/>
                <w:sz w:val="28"/>
                <w:szCs w:val="28"/>
              </w:rPr>
              <w:t>新能源领域项目</w:t>
            </w:r>
            <w:r>
              <w:rPr>
                <w:sz w:val="28"/>
                <w:szCs w:val="28"/>
              </w:rPr>
              <w:t>均已被纳入专项债券支持范围。操作落实方面，一是地方</w:t>
            </w:r>
            <w:r>
              <w:rPr>
                <w:rFonts w:hint="eastAsia"/>
                <w:sz w:val="28"/>
                <w:szCs w:val="28"/>
              </w:rPr>
              <w:t>加快</w:t>
            </w:r>
            <w:r>
              <w:rPr>
                <w:sz w:val="28"/>
                <w:szCs w:val="28"/>
              </w:rPr>
              <w:t>编制专项债券发行计划，提前安排发行时间，按要求按时完成专项债券发行工作，及时将资金拨付到项目单位，优先支持在建和前</w:t>
            </w:r>
            <w:r>
              <w:rPr>
                <w:sz w:val="28"/>
                <w:szCs w:val="28"/>
              </w:rPr>
              <w:t>期工作充分的成熟项目，确保及时形成实物工作量；二是地方加强财政、发展改革、自然资源等部门沟通，做好项目用地、环评、用能等的协调保障，加快项目建设进度；三是引导项目单位与商业银行积极对接，对偿还专项债券本息后收益仍有剩余的项目，项目单位可根据剩余专项收入情况申请市场化配套融资。</w:t>
            </w:r>
          </w:p>
        </w:tc>
      </w:tr>
    </w:tbl>
    <w:p w:rsidR="005011A4" w:rsidRDefault="005011A4"/>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5011A4">
        <w:trPr>
          <w:trHeight w:val="520"/>
          <w:jc w:val="center"/>
        </w:trPr>
        <w:tc>
          <w:tcPr>
            <w:tcW w:w="8744" w:type="dxa"/>
          </w:tcPr>
          <w:p w:rsidR="005011A4" w:rsidRDefault="005226AA">
            <w:pPr>
              <w:pStyle w:val="af4"/>
              <w:ind w:firstLineChars="0" w:firstLine="0"/>
              <w:rPr>
                <w:sz w:val="30"/>
                <w:szCs w:val="30"/>
              </w:rPr>
            </w:pPr>
            <w:r>
              <w:rPr>
                <w:sz w:val="30"/>
                <w:szCs w:val="30"/>
              </w:rPr>
              <w:t>案例</w:t>
            </w:r>
            <w:r>
              <w:rPr>
                <w:sz w:val="30"/>
                <w:szCs w:val="30"/>
              </w:rPr>
              <w:t>7-</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4</w:t>
            </w:r>
            <w:r>
              <w:rPr>
                <w:sz w:val="30"/>
                <w:szCs w:val="30"/>
              </w:rPr>
              <w:fldChar w:fldCharType="end"/>
            </w:r>
            <w:r>
              <w:rPr>
                <w:sz w:val="30"/>
                <w:szCs w:val="30"/>
              </w:rPr>
              <w:t>黑龙江专项债券支持新能源项目建设</w:t>
            </w:r>
          </w:p>
        </w:tc>
      </w:tr>
      <w:tr w:rsidR="005011A4">
        <w:trPr>
          <w:jc w:val="center"/>
        </w:trPr>
        <w:tc>
          <w:tcPr>
            <w:tcW w:w="8744" w:type="dxa"/>
          </w:tcPr>
          <w:p w:rsidR="005011A4" w:rsidRDefault="005226AA">
            <w:pPr>
              <w:spacing w:line="520" w:lineRule="exact"/>
              <w:ind w:firstLine="560"/>
              <w:textAlignment w:val="auto"/>
              <w:rPr>
                <w:color w:val="000000"/>
                <w:sz w:val="28"/>
                <w:szCs w:val="28"/>
              </w:rPr>
            </w:pPr>
            <w:r>
              <w:rPr>
                <w:color w:val="000000"/>
                <w:sz w:val="28"/>
                <w:szCs w:val="28"/>
              </w:rPr>
              <w:t>2022</w:t>
            </w:r>
            <w:r>
              <w:rPr>
                <w:color w:val="000000"/>
                <w:sz w:val="28"/>
                <w:szCs w:val="28"/>
              </w:rPr>
              <w:t>年</w:t>
            </w:r>
            <w:r>
              <w:rPr>
                <w:color w:val="000000"/>
                <w:sz w:val="28"/>
                <w:szCs w:val="28"/>
              </w:rPr>
              <w:t>5</w:t>
            </w:r>
            <w:r>
              <w:rPr>
                <w:color w:val="000000"/>
                <w:sz w:val="28"/>
                <w:szCs w:val="28"/>
              </w:rPr>
              <w:t>月，黑龙江省人民政府下发《贯彻落实国务院扎实稳住经济一揽子政策措施实施方案》。该文件提出，加快地方政府专项债券发行使用。落实国家适当扩大专项债券支持领域政策，优先支持符合发行条件的新型基础设施、新能源项目建设，争取</w:t>
            </w:r>
            <w:r>
              <w:rPr>
                <w:color w:val="000000"/>
                <w:sz w:val="28"/>
                <w:szCs w:val="28"/>
              </w:rPr>
              <w:t>6</w:t>
            </w:r>
            <w:r>
              <w:rPr>
                <w:color w:val="000000"/>
                <w:sz w:val="28"/>
                <w:szCs w:val="28"/>
              </w:rPr>
              <w:t>月底前基本发行完毕，</w:t>
            </w:r>
            <w:r>
              <w:rPr>
                <w:color w:val="000000"/>
                <w:sz w:val="28"/>
                <w:szCs w:val="28"/>
              </w:rPr>
              <w:t>8</w:t>
            </w:r>
            <w:r>
              <w:rPr>
                <w:color w:val="000000"/>
                <w:sz w:val="28"/>
                <w:szCs w:val="28"/>
              </w:rPr>
              <w:t>月底前基本使用到位。积极谋划</w:t>
            </w:r>
            <w:r>
              <w:rPr>
                <w:rFonts w:ascii="方正仿宋_GBK" w:hAnsi="方正仿宋_GBK" w:hint="eastAsia"/>
                <w:color w:val="000000"/>
                <w:sz w:val="28"/>
                <w:szCs w:val="28"/>
              </w:rPr>
              <w:t>“</w:t>
            </w:r>
            <w:r>
              <w:rPr>
                <w:color w:val="000000"/>
                <w:sz w:val="28"/>
                <w:szCs w:val="28"/>
              </w:rPr>
              <w:t>专项债券</w:t>
            </w:r>
            <w:r>
              <w:rPr>
                <w:color w:val="000000"/>
                <w:sz w:val="28"/>
                <w:szCs w:val="28"/>
              </w:rPr>
              <w:t>+</w:t>
            </w:r>
            <w:r>
              <w:rPr>
                <w:color w:val="000000"/>
                <w:sz w:val="28"/>
                <w:szCs w:val="28"/>
              </w:rPr>
              <w:t>市场化融资</w:t>
            </w:r>
            <w:r>
              <w:rPr>
                <w:rFonts w:ascii="方正仿宋_GBK" w:hAnsi="方正仿宋_GBK" w:hint="eastAsia"/>
                <w:color w:val="000000"/>
                <w:sz w:val="28"/>
                <w:szCs w:val="28"/>
              </w:rPr>
              <w:t>”</w:t>
            </w:r>
            <w:r>
              <w:rPr>
                <w:color w:val="000000"/>
                <w:sz w:val="28"/>
                <w:szCs w:val="28"/>
              </w:rPr>
              <w:t>项目，引导商业银行对符合条件的专项债券项目提供配套融资支持。</w:t>
            </w:r>
          </w:p>
        </w:tc>
      </w:tr>
    </w:tbl>
    <w:p w:rsidR="005011A4" w:rsidRDefault="005011A4"/>
    <w:p w:rsidR="005011A4" w:rsidRDefault="005226AA">
      <w:pPr>
        <w:pStyle w:val="2"/>
        <w:rPr>
          <w:rFonts w:ascii="Times New Roman"/>
        </w:rPr>
      </w:pPr>
      <w:bookmarkStart w:id="7" w:name="_Toc128756548"/>
      <w:r>
        <w:rPr>
          <w:rFonts w:ascii="Times New Roman"/>
        </w:rPr>
        <w:t>（二十）落实金融支持政策</w:t>
      </w:r>
      <w:bookmarkEnd w:id="7"/>
    </w:p>
    <w:p w:rsidR="005011A4" w:rsidRDefault="005226AA">
      <w:pPr>
        <w:adjustRightInd w:val="0"/>
        <w:snapToGrid w:val="0"/>
        <w:textAlignment w:val="auto"/>
        <w:rPr>
          <w:rFonts w:eastAsia="方正楷体_GBK"/>
        </w:rPr>
      </w:pPr>
      <w:r>
        <w:rPr>
          <w:rFonts w:eastAsia="方正楷体_GBK"/>
        </w:rPr>
        <w:t>主要政策点</w:t>
      </w:r>
      <w:r>
        <w:rPr>
          <w:rFonts w:eastAsia="方正楷体_GBK"/>
        </w:rPr>
        <w:t>1</w:t>
      </w:r>
      <w:r>
        <w:rPr>
          <w:rFonts w:eastAsia="方正楷体_GBK"/>
        </w:rPr>
        <w:t>：推进金融机构以依法合规、风险可控和商业可持续为前提，发放可再生能源存量项目电价补贴确权贷款。</w:t>
      </w:r>
    </w:p>
    <w:p w:rsidR="005011A4" w:rsidRDefault="005226AA">
      <w:r>
        <w:t>制定和实施好新能源金融政策是落实《中共中央国务院关于完整准确全面贯彻新发展理念做好碳达峰碳中和工作的意见》中</w:t>
      </w:r>
      <w:r>
        <w:rPr>
          <w:rFonts w:ascii="方正仿宋_GBK" w:hAnsi="方正仿宋_GBK" w:hint="eastAsia"/>
        </w:rPr>
        <w:t>“</w:t>
      </w:r>
      <w:r>
        <w:t>积</w:t>
      </w:r>
      <w:r>
        <w:lastRenderedPageBreak/>
        <w:t>极发展绿色金融</w:t>
      </w:r>
      <w:r>
        <w:rPr>
          <w:rFonts w:ascii="方正仿宋_GBK" w:hAnsi="方正仿宋_GBK" w:hint="eastAsia"/>
        </w:rPr>
        <w:t>”</w:t>
      </w:r>
      <w:r>
        <w:t>要求的一项具体体现。基金和税收等财政政策在既往十几年中对支持新能源发展起到了积极作用，尤其是在促进风电、光伏发电发展方面</w:t>
      </w:r>
      <w:r>
        <w:rPr>
          <w:rFonts w:hint="eastAsia"/>
        </w:rPr>
        <w:t>成效</w:t>
      </w:r>
      <w:r>
        <w:t>显著，</w:t>
      </w:r>
      <w:r>
        <w:rPr>
          <w:rFonts w:hint="eastAsia"/>
        </w:rPr>
        <w:t>目前</w:t>
      </w:r>
      <w:r>
        <w:t>风光已实现平价无补贴上网，对财政政策支持的方向和模式需求发生变化，对金融政策的需求增加，金融政策可以且必须发挥更大的作用。同时新能源发展仍存在不平衡不充分问题，除风光外的其他新能源还需要金融政策的持续支持，解决面临的不同实际问题，进一步提升技术水平和</w:t>
      </w:r>
      <w:r>
        <w:t>竞争力，扩大产业和应用规模，共同发挥在实现碳达峰碳中和目标的作用。</w:t>
      </w:r>
    </w:p>
    <w:p w:rsidR="005011A4" w:rsidRDefault="005226AA">
      <w:r>
        <w:rPr>
          <w:rFonts w:ascii="方正仿宋_GBK" w:hAnsi="方正仿宋_GBK" w:hint="eastAsia"/>
        </w:rPr>
        <w:t>“</w:t>
      </w:r>
      <w:r>
        <w:t>十四五</w:t>
      </w:r>
      <w:r>
        <w:rPr>
          <w:rFonts w:ascii="方正仿宋_GBK" w:hAnsi="方正仿宋_GBK" w:hint="eastAsia"/>
        </w:rPr>
        <w:t>”</w:t>
      </w:r>
      <w:r>
        <w:t>前对新能源的金融支持主要是国开行等政策性银行以及其他国有银行等金融机构按照其商业化项目授信原则和标准，对风光等项目建设提供融资贷款方面的支持，国家宏观政策更多为定性表述。</w:t>
      </w:r>
      <w:r>
        <w:rPr>
          <w:rFonts w:ascii="方正仿宋_GBK" w:hAnsi="方正仿宋_GBK" w:hint="eastAsia"/>
        </w:rPr>
        <w:t>“</w:t>
      </w:r>
      <w:r>
        <w:t>十四五</w:t>
      </w:r>
      <w:r>
        <w:rPr>
          <w:rFonts w:ascii="方正仿宋_GBK" w:hAnsi="方正仿宋_GBK" w:hint="eastAsia"/>
        </w:rPr>
        <w:t>”</w:t>
      </w:r>
      <w:r>
        <w:t>期间新能源要实现跃升发展，一方面新增风光等新能源项目规模扩大会带来更多的多样化的融资需求，另一方面需要减轻存量项目补贴拖欠给新能源开发运营企业带来的资金压力。金融政策可以在多个方面发挥支持新能源产业健康发展的作用。</w:t>
      </w:r>
    </w:p>
    <w:p w:rsidR="005011A4" w:rsidRDefault="005226AA">
      <w:r>
        <w:t>在《实施方案》起草和征求各部门意见过程中，国务院有关部门结合相关思路出台了一些</w:t>
      </w:r>
      <w:r>
        <w:rPr>
          <w:rFonts w:hint="eastAsia"/>
        </w:rPr>
        <w:t>操作</w:t>
      </w:r>
      <w:r>
        <w:t>性强的金融政策，《实施方案》发布后进入政策加强落实阶段。为解决被欠补可再生能源企业现金流，缓解补贴拖欠带来的影响，减轻企业负担，</w:t>
      </w:r>
      <w:r>
        <w:t>2021</w:t>
      </w:r>
      <w:r>
        <w:t>年以来国家有关部门出台了几项举措，其中一项重要举措是国家发展改革委、财政部、中国人民银行、银保监会、国家能源局五部门联合发布了《关于引</w:t>
      </w:r>
      <w:r>
        <w:lastRenderedPageBreak/>
        <w:t>导加大金融支持力度促进风电和光伏发电等行业健康有序发展的通知》（发改运行〔</w:t>
      </w:r>
      <w:r>
        <w:t>2021</w:t>
      </w:r>
      <w:r>
        <w:t>〕</w:t>
      </w:r>
      <w:r>
        <w:t>266</w:t>
      </w:r>
      <w:r>
        <w:t>号），明确在市场化、法制化、银企自主协商等原则下，金融机构对政策合规的</w:t>
      </w:r>
      <w:r>
        <w:t>可再生能源发电项目所在企业发放电价补贴确权贷款，并制定了相应的配套措施予以推进。根据文件，对于既有贷款，是在银企双方自主协商的基础上，进行贷款展期、续贷，或调整还款进度、期限等；对于补贴确权贷款，首先由相关可再生能源企业自行确定是否申请，银行根据与企业沟通情况和风险评估自行确定是否发放确权贷款，之后银企双方自主协商贷款金额（上限为企业应收未收的财政补贴资金）、年限、利率等；鼓励企业优先与既有开户银行沟通合作，但仍以自愿原则，不限于既有银行。文件还提出要</w:t>
      </w:r>
      <w:r>
        <w:rPr>
          <w:sz w:val="28"/>
          <w:szCs w:val="28"/>
        </w:rPr>
        <w:t>建立补贴确权贷款的封闭还贷制度，即</w:t>
      </w:r>
      <w:r>
        <w:t>企业在贷款行定点开设补</w:t>
      </w:r>
      <w:r>
        <w:t>贴确权专用账户，企业获得的补贴资金直接由电网企业向专用账户拨付，不经过企业周转，提升效率，降低风险，也有利于企业获得更好的补贴确权贷款条件。</w:t>
      </w: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5011A4">
        <w:trPr>
          <w:trHeight w:val="520"/>
          <w:jc w:val="center"/>
        </w:trPr>
        <w:tc>
          <w:tcPr>
            <w:tcW w:w="8744" w:type="dxa"/>
          </w:tcPr>
          <w:p w:rsidR="005011A4" w:rsidRDefault="005226AA">
            <w:pPr>
              <w:pStyle w:val="af4"/>
              <w:ind w:firstLineChars="0" w:firstLine="0"/>
              <w:rPr>
                <w:sz w:val="30"/>
                <w:szCs w:val="30"/>
              </w:rPr>
            </w:pPr>
            <w:r>
              <w:rPr>
                <w:sz w:val="30"/>
                <w:szCs w:val="30"/>
              </w:rPr>
              <w:t>案例</w:t>
            </w:r>
            <w:r>
              <w:rPr>
                <w:sz w:val="30"/>
                <w:szCs w:val="30"/>
              </w:rPr>
              <w:t>7-</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5</w:t>
            </w:r>
            <w:r>
              <w:rPr>
                <w:sz w:val="30"/>
                <w:szCs w:val="30"/>
              </w:rPr>
              <w:fldChar w:fldCharType="end"/>
            </w:r>
            <w:r>
              <w:rPr>
                <w:sz w:val="30"/>
                <w:szCs w:val="30"/>
              </w:rPr>
              <w:t>落实可再生能源存量项目电价补贴确权贷款政策</w:t>
            </w:r>
          </w:p>
        </w:tc>
      </w:tr>
      <w:tr w:rsidR="005011A4">
        <w:trPr>
          <w:jc w:val="center"/>
        </w:trPr>
        <w:tc>
          <w:tcPr>
            <w:tcW w:w="8744" w:type="dxa"/>
          </w:tcPr>
          <w:p w:rsidR="005011A4" w:rsidRDefault="005226AA">
            <w:pPr>
              <w:spacing w:line="520" w:lineRule="exact"/>
              <w:ind w:firstLine="560"/>
              <w:textAlignment w:val="auto"/>
              <w:rPr>
                <w:sz w:val="28"/>
                <w:szCs w:val="28"/>
              </w:rPr>
            </w:pPr>
            <w:r>
              <w:rPr>
                <w:sz w:val="28"/>
                <w:szCs w:val="28"/>
              </w:rPr>
              <w:t>2021</w:t>
            </w:r>
            <w:r>
              <w:rPr>
                <w:sz w:val="28"/>
                <w:szCs w:val="28"/>
              </w:rPr>
              <w:t>年</w:t>
            </w:r>
            <w:r>
              <w:rPr>
                <w:sz w:val="28"/>
                <w:szCs w:val="28"/>
              </w:rPr>
              <w:t>3</w:t>
            </w:r>
            <w:r>
              <w:rPr>
                <w:sz w:val="28"/>
                <w:szCs w:val="28"/>
              </w:rPr>
              <w:t>月</w:t>
            </w:r>
            <w:r>
              <w:rPr>
                <w:rFonts w:ascii="方正仿宋_GBK" w:hAnsi="方正仿宋_GBK" w:hint="eastAsia"/>
                <w:sz w:val="28"/>
                <w:szCs w:val="28"/>
              </w:rPr>
              <w:t>“</w:t>
            </w:r>
            <w:r>
              <w:rPr>
                <w:sz w:val="28"/>
                <w:szCs w:val="28"/>
              </w:rPr>
              <w:t>发改运行〔</w:t>
            </w:r>
            <w:r>
              <w:rPr>
                <w:sz w:val="28"/>
                <w:szCs w:val="28"/>
              </w:rPr>
              <w:t>2021</w:t>
            </w:r>
            <w:r>
              <w:rPr>
                <w:sz w:val="28"/>
                <w:szCs w:val="28"/>
              </w:rPr>
              <w:t>〕</w:t>
            </w:r>
            <w:r>
              <w:rPr>
                <w:sz w:val="28"/>
                <w:szCs w:val="28"/>
              </w:rPr>
              <w:t>266</w:t>
            </w:r>
            <w:r>
              <w:rPr>
                <w:sz w:val="28"/>
                <w:szCs w:val="28"/>
              </w:rPr>
              <w:t>号</w:t>
            </w:r>
            <w:r>
              <w:rPr>
                <w:rFonts w:ascii="方正仿宋_GBK" w:hAnsi="方正仿宋_GBK" w:hint="eastAsia"/>
                <w:sz w:val="28"/>
                <w:szCs w:val="28"/>
              </w:rPr>
              <w:t>”</w:t>
            </w:r>
            <w:r>
              <w:rPr>
                <w:sz w:val="28"/>
                <w:szCs w:val="28"/>
              </w:rPr>
              <w:t>文件颁布后，金融机构积极响应，遵循商业化、市场化、法制化、自愿和自主协商的原则，向有需求企业发放了存量项目电价补贴确权贷款。政策惠及国有和民营等各类企业，涉及风电、光伏、生物质等各类可再生能源发电项目。以下为几个典型</w:t>
            </w:r>
            <w:r>
              <w:rPr>
                <w:sz w:val="28"/>
                <w:szCs w:val="28"/>
              </w:rPr>
              <w:t>例子。</w:t>
            </w:r>
          </w:p>
          <w:p w:rsidR="005011A4" w:rsidRDefault="005226AA">
            <w:pPr>
              <w:spacing w:line="520" w:lineRule="exact"/>
              <w:ind w:firstLine="560"/>
              <w:textAlignment w:val="auto"/>
              <w:rPr>
                <w:rFonts w:eastAsia="仿宋_GB2312"/>
                <w:color w:val="000000"/>
                <w:sz w:val="28"/>
                <w:szCs w:val="28"/>
              </w:rPr>
            </w:pPr>
            <w:r>
              <w:rPr>
                <w:sz w:val="28"/>
                <w:szCs w:val="28"/>
              </w:rPr>
              <w:t>2021</w:t>
            </w:r>
            <w:r>
              <w:rPr>
                <w:sz w:val="28"/>
                <w:szCs w:val="28"/>
              </w:rPr>
              <w:t>年</w:t>
            </w:r>
            <w:r>
              <w:rPr>
                <w:sz w:val="28"/>
                <w:szCs w:val="28"/>
              </w:rPr>
              <w:t>7</w:t>
            </w:r>
            <w:r>
              <w:rPr>
                <w:sz w:val="28"/>
                <w:szCs w:val="28"/>
              </w:rPr>
              <w:t>月农行湖北孝感分行向中广核湖北大梧风电公司授信</w:t>
            </w:r>
            <w:r>
              <w:rPr>
                <w:sz w:val="28"/>
                <w:szCs w:val="28"/>
              </w:rPr>
              <w:t>6300</w:t>
            </w:r>
            <w:r>
              <w:rPr>
                <w:sz w:val="28"/>
                <w:szCs w:val="28"/>
              </w:rPr>
              <w:t>万元，并发放</w:t>
            </w:r>
            <w:r>
              <w:rPr>
                <w:sz w:val="28"/>
                <w:szCs w:val="28"/>
              </w:rPr>
              <w:t>950</w:t>
            </w:r>
            <w:r>
              <w:rPr>
                <w:sz w:val="28"/>
                <w:szCs w:val="28"/>
              </w:rPr>
              <w:t>万元的补贴确权贷款，支持大别山革命老区风电项目建设和实现绿色高质量发展；</w:t>
            </w:r>
            <w:r>
              <w:rPr>
                <w:sz w:val="28"/>
                <w:szCs w:val="28"/>
              </w:rPr>
              <w:t>2021</w:t>
            </w:r>
            <w:r>
              <w:rPr>
                <w:sz w:val="28"/>
                <w:szCs w:val="28"/>
              </w:rPr>
              <w:t>年</w:t>
            </w:r>
            <w:r>
              <w:rPr>
                <w:sz w:val="28"/>
                <w:szCs w:val="28"/>
              </w:rPr>
              <w:t>8</w:t>
            </w:r>
            <w:r>
              <w:rPr>
                <w:sz w:val="28"/>
                <w:szCs w:val="28"/>
              </w:rPr>
              <w:t>月中行广东分行向广东</w:t>
            </w:r>
            <w:r>
              <w:rPr>
                <w:sz w:val="28"/>
                <w:szCs w:val="28"/>
              </w:rPr>
              <w:lastRenderedPageBreak/>
              <w:t>华电前山风电项目授信发放补贴确权贷款，三年期</w:t>
            </w:r>
            <w:r>
              <w:rPr>
                <w:sz w:val="28"/>
                <w:szCs w:val="28"/>
              </w:rPr>
              <w:t>759</w:t>
            </w:r>
            <w:r>
              <w:rPr>
                <w:sz w:val="28"/>
                <w:szCs w:val="28"/>
              </w:rPr>
              <w:t>万元；同月建行广东茂名分行向茂名中坳风电公司授信</w:t>
            </w:r>
            <w:r>
              <w:rPr>
                <w:sz w:val="28"/>
                <w:szCs w:val="28"/>
              </w:rPr>
              <w:t>3000</w:t>
            </w:r>
            <w:r>
              <w:rPr>
                <w:sz w:val="28"/>
                <w:szCs w:val="28"/>
              </w:rPr>
              <w:t>万元补贴确权贷款，当月发放</w:t>
            </w:r>
            <w:r>
              <w:rPr>
                <w:sz w:val="28"/>
                <w:szCs w:val="28"/>
              </w:rPr>
              <w:t>1116</w:t>
            </w:r>
            <w:r>
              <w:rPr>
                <w:sz w:val="28"/>
                <w:szCs w:val="28"/>
              </w:rPr>
              <w:t>万元；同月江苏银行盐城分行发放了江苏首笔补贴确权贷款，</w:t>
            </w:r>
            <w:r>
              <w:rPr>
                <w:sz w:val="28"/>
                <w:szCs w:val="28"/>
              </w:rPr>
              <w:t>2000</w:t>
            </w:r>
            <w:r>
              <w:rPr>
                <w:sz w:val="28"/>
                <w:szCs w:val="28"/>
              </w:rPr>
              <w:t>万元额度，受益企业</w:t>
            </w:r>
            <w:r>
              <w:rPr>
                <w:rFonts w:hint="eastAsia"/>
                <w:sz w:val="28"/>
                <w:szCs w:val="28"/>
              </w:rPr>
              <w:t>为</w:t>
            </w:r>
            <w:r>
              <w:rPr>
                <w:sz w:val="28"/>
                <w:szCs w:val="28"/>
              </w:rPr>
              <w:t>滨海晶科电力</w:t>
            </w:r>
            <w:r>
              <w:rPr>
                <w:sz w:val="28"/>
                <w:szCs w:val="28"/>
              </w:rPr>
              <w:t>1</w:t>
            </w:r>
            <w:r>
              <w:rPr>
                <w:sz w:val="28"/>
                <w:szCs w:val="28"/>
              </w:rPr>
              <w:t>万千瓦渔光互补项目；</w:t>
            </w:r>
            <w:r>
              <w:rPr>
                <w:sz w:val="28"/>
                <w:szCs w:val="28"/>
              </w:rPr>
              <w:t>2021</w:t>
            </w:r>
            <w:r>
              <w:rPr>
                <w:sz w:val="28"/>
                <w:szCs w:val="28"/>
              </w:rPr>
              <w:t>年</w:t>
            </w:r>
            <w:r>
              <w:rPr>
                <w:sz w:val="28"/>
                <w:szCs w:val="28"/>
              </w:rPr>
              <w:t>11</w:t>
            </w:r>
            <w:r>
              <w:rPr>
                <w:sz w:val="28"/>
                <w:szCs w:val="28"/>
              </w:rPr>
              <w:t>月工行山东枣庄分行为辖区内</w:t>
            </w:r>
            <w:r>
              <w:rPr>
                <w:sz w:val="28"/>
                <w:szCs w:val="28"/>
              </w:rPr>
              <w:t>5</w:t>
            </w:r>
            <w:r>
              <w:rPr>
                <w:sz w:val="28"/>
                <w:szCs w:val="28"/>
              </w:rPr>
              <w:t>万千瓦秸秆发电项目</w:t>
            </w:r>
            <w:r>
              <w:rPr>
                <w:sz w:val="28"/>
                <w:szCs w:val="28"/>
              </w:rPr>
              <w:t>发放</w:t>
            </w:r>
            <w:r>
              <w:rPr>
                <w:sz w:val="28"/>
                <w:szCs w:val="28"/>
              </w:rPr>
              <w:t>3000</w:t>
            </w:r>
            <w:r>
              <w:rPr>
                <w:sz w:val="28"/>
                <w:szCs w:val="28"/>
              </w:rPr>
              <w:t>万元补贴确权贷款，受益项目为，将应收未收的电价补贴作为质押物，有效缓解企业在收购原料季节的资金紧张问题。</w:t>
            </w:r>
          </w:p>
        </w:tc>
      </w:tr>
    </w:tbl>
    <w:p w:rsidR="005011A4" w:rsidRDefault="005011A4">
      <w:pPr>
        <w:adjustRightInd w:val="0"/>
        <w:snapToGrid w:val="0"/>
        <w:textAlignment w:val="auto"/>
        <w:rPr>
          <w:rFonts w:eastAsia="方正楷体_GBK"/>
        </w:rPr>
      </w:pPr>
    </w:p>
    <w:p w:rsidR="005011A4" w:rsidRDefault="005226AA">
      <w:pPr>
        <w:adjustRightInd w:val="0"/>
        <w:snapToGrid w:val="0"/>
        <w:textAlignment w:val="auto"/>
        <w:rPr>
          <w:rFonts w:eastAsia="方正楷体_GBK"/>
        </w:rPr>
      </w:pPr>
      <w:r>
        <w:rPr>
          <w:rFonts w:eastAsia="方正楷体_GBK"/>
        </w:rPr>
        <w:t>主要政策点</w:t>
      </w:r>
      <w:r>
        <w:rPr>
          <w:rFonts w:eastAsia="方正楷体_GBK"/>
        </w:rPr>
        <w:t>2</w:t>
      </w:r>
      <w:r>
        <w:rPr>
          <w:rFonts w:eastAsia="方正楷体_GBK"/>
        </w:rPr>
        <w:t>：利用电网企业融资优势，拓展资金来源，使可再生能源发电延续补贴资金年度收支平衡。</w:t>
      </w:r>
    </w:p>
    <w:p w:rsidR="005011A4" w:rsidRDefault="005226AA">
      <w:r>
        <w:t>可再生能源上网电价和度电补贴、设立可再生能源发展基金、征收可再生能源电价附加用于可再生能源电价补贴费用补偿等机制对促进我国风电、太阳能发电、生物质发电的市场发展，并进而带动新能源全产业发展起到了重要作用。</w:t>
      </w:r>
      <w:r>
        <w:rPr>
          <w:rFonts w:hint="eastAsia"/>
        </w:rPr>
        <w:t>但是，自</w:t>
      </w:r>
      <w:r>
        <w:t>2015</w:t>
      </w:r>
      <w:r>
        <w:t>年以来历年均存在新增电价补贴资金缺口，累计补贴资金缺口逐年增大。进入</w:t>
      </w:r>
      <w:r>
        <w:rPr>
          <w:rFonts w:ascii="方正仿宋_GBK" w:hAnsi="方正仿宋_GBK" w:hint="eastAsia"/>
        </w:rPr>
        <w:t>“</w:t>
      </w:r>
      <w:r>
        <w:t>十四五</w:t>
      </w:r>
      <w:r>
        <w:rPr>
          <w:rFonts w:ascii="方正仿宋_GBK" w:hAnsi="方正仿宋_GBK" w:hint="eastAsia"/>
        </w:rPr>
        <w:t>”</w:t>
      </w:r>
      <w:r>
        <w:t>，国家政策已明确新增风电、除户用光伏外的光伏发电、光热发电项目全面实现无补贴平价上网，对</w:t>
      </w:r>
      <w:r>
        <w:rPr>
          <w:rFonts w:hint="eastAsia"/>
        </w:rPr>
        <w:t>2021</w:t>
      </w:r>
      <w:r>
        <w:rPr>
          <w:rFonts w:hint="eastAsia"/>
        </w:rPr>
        <w:t>年度的</w:t>
      </w:r>
      <w:r>
        <w:t>户用光伏通过实施年度</w:t>
      </w:r>
      <w:r>
        <w:t>5</w:t>
      </w:r>
      <w:r>
        <w:t>亿元固定补贴总额予以支持，对生物质能发电实施新增项目竞争配置和电价补贴总额控制。因此，</w:t>
      </w:r>
      <w:r>
        <w:rPr>
          <w:rFonts w:ascii="方正仿宋_GBK" w:hAnsi="方正仿宋_GBK" w:hint="eastAsia"/>
        </w:rPr>
        <w:t>“</w:t>
      </w:r>
      <w:r>
        <w:t>十四五</w:t>
      </w:r>
      <w:r>
        <w:rPr>
          <w:rFonts w:ascii="方正仿宋_GBK" w:hAnsi="方正仿宋_GBK" w:hint="eastAsia"/>
        </w:rPr>
        <w:t>”</w:t>
      </w:r>
      <w:r>
        <w:t>新增新能源项目的电价补贴不超过每年可再生能源发展基金的资金增量，实现了</w:t>
      </w:r>
      <w:r>
        <w:rPr>
          <w:rFonts w:ascii="方正仿宋_GBK" w:hAnsi="方正仿宋_GBK" w:hint="eastAsia"/>
        </w:rPr>
        <w:t>“</w:t>
      </w:r>
      <w:r>
        <w:t>以收定支</w:t>
      </w:r>
      <w:r>
        <w:rPr>
          <w:rFonts w:ascii="方正仿宋_GBK" w:hAnsi="方正仿宋_GBK" w:hint="eastAsia"/>
        </w:rPr>
        <w:t>”</w:t>
      </w:r>
      <w:r>
        <w:t>，但之前的存量有电价补贴项目的资金缺口问题亟待解决。</w:t>
      </w:r>
    </w:p>
    <w:p w:rsidR="005011A4" w:rsidRDefault="005226AA">
      <w:r>
        <w:lastRenderedPageBreak/>
        <w:t>为解决这一问题，国家在复核各存量项目电价补贴需求的基础上，在</w:t>
      </w:r>
      <w:r>
        <w:t>2022</w:t>
      </w:r>
      <w:r>
        <w:t>年中央财政政府性基金预算中，安排了千亿量级资金用于存量项目的电价补贴历史拖欠。下一步应全面落实《实施方案》要求，对于存量有电价补贴新能源项目，需要解决补贴资金当年度的供需不平衡问题，除了确保可再生能源发展基金应收尽收增加资金供应外，还可以探索机制，制定政策，</w:t>
      </w:r>
      <w:r>
        <w:rPr>
          <w:rFonts w:hint="eastAsia"/>
        </w:rPr>
        <w:t>通过</w:t>
      </w:r>
      <w:r>
        <w:rPr>
          <w:rFonts w:hint="eastAsia"/>
        </w:rPr>
        <w:t>国家授权设立专门机构开展专项融资</w:t>
      </w:r>
      <w:r>
        <w:rPr>
          <w:rFonts w:hint="eastAsia"/>
        </w:rPr>
        <w:t>措施</w:t>
      </w:r>
      <w:r>
        <w:t>。</w:t>
      </w: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5011A4">
        <w:trPr>
          <w:trHeight w:val="520"/>
          <w:jc w:val="center"/>
        </w:trPr>
        <w:tc>
          <w:tcPr>
            <w:tcW w:w="8744" w:type="dxa"/>
          </w:tcPr>
          <w:p w:rsidR="005011A4" w:rsidRDefault="005226AA">
            <w:pPr>
              <w:pStyle w:val="af4"/>
              <w:ind w:firstLineChars="0" w:firstLine="0"/>
              <w:rPr>
                <w:sz w:val="30"/>
                <w:szCs w:val="30"/>
              </w:rPr>
            </w:pPr>
            <w:r>
              <w:rPr>
                <w:sz w:val="30"/>
                <w:szCs w:val="30"/>
              </w:rPr>
              <w:t>案例</w:t>
            </w:r>
            <w:r>
              <w:rPr>
                <w:sz w:val="30"/>
                <w:szCs w:val="30"/>
              </w:rPr>
              <w:t>7-</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6</w:t>
            </w:r>
            <w:r>
              <w:rPr>
                <w:sz w:val="30"/>
                <w:szCs w:val="30"/>
              </w:rPr>
              <w:fldChar w:fldCharType="end"/>
            </w:r>
            <w:r>
              <w:rPr>
                <w:rFonts w:hint="eastAsia"/>
                <w:sz w:val="30"/>
                <w:szCs w:val="30"/>
              </w:rPr>
              <w:t>中国</w:t>
            </w:r>
            <w:r>
              <w:rPr>
                <w:sz w:val="30"/>
                <w:szCs w:val="30"/>
              </w:rPr>
              <w:t>为</w:t>
            </w:r>
            <w:r>
              <w:rPr>
                <w:rFonts w:hint="eastAsia"/>
                <w:sz w:val="30"/>
                <w:szCs w:val="30"/>
              </w:rPr>
              <w:t>统筹解决</w:t>
            </w:r>
            <w:r>
              <w:rPr>
                <w:sz w:val="30"/>
                <w:szCs w:val="30"/>
              </w:rPr>
              <w:t>可再生能源</w:t>
            </w:r>
            <w:r>
              <w:rPr>
                <w:rFonts w:hint="eastAsia"/>
                <w:sz w:val="30"/>
                <w:szCs w:val="30"/>
              </w:rPr>
              <w:t>发电</w:t>
            </w:r>
            <w:r>
              <w:rPr>
                <w:sz w:val="30"/>
                <w:szCs w:val="30"/>
              </w:rPr>
              <w:t>补贴</w:t>
            </w:r>
            <w:r>
              <w:rPr>
                <w:rFonts w:hint="eastAsia"/>
                <w:sz w:val="30"/>
                <w:szCs w:val="30"/>
              </w:rPr>
              <w:t>问题</w:t>
            </w:r>
            <w:r>
              <w:rPr>
                <w:sz w:val="30"/>
                <w:szCs w:val="30"/>
              </w:rPr>
              <w:t>成立结算服务公司</w:t>
            </w:r>
          </w:p>
        </w:tc>
      </w:tr>
      <w:tr w:rsidR="005011A4">
        <w:trPr>
          <w:jc w:val="center"/>
        </w:trPr>
        <w:tc>
          <w:tcPr>
            <w:tcW w:w="8744" w:type="dxa"/>
          </w:tcPr>
          <w:p w:rsidR="005011A4" w:rsidRDefault="005226AA">
            <w:pPr>
              <w:spacing w:line="520" w:lineRule="exact"/>
              <w:ind w:firstLine="560"/>
              <w:textAlignment w:val="auto"/>
              <w:rPr>
                <w:sz w:val="28"/>
                <w:szCs w:val="28"/>
              </w:rPr>
            </w:pPr>
            <w:r>
              <w:rPr>
                <w:sz w:val="28"/>
                <w:szCs w:val="28"/>
              </w:rPr>
              <w:t>2022</w:t>
            </w:r>
            <w:r>
              <w:rPr>
                <w:sz w:val="28"/>
                <w:szCs w:val="28"/>
              </w:rPr>
              <w:t>年</w:t>
            </w:r>
            <w:r>
              <w:rPr>
                <w:sz w:val="28"/>
                <w:szCs w:val="28"/>
              </w:rPr>
              <w:t>8</w:t>
            </w:r>
            <w:r>
              <w:rPr>
                <w:sz w:val="28"/>
                <w:szCs w:val="28"/>
              </w:rPr>
              <w:t>月，按照</w:t>
            </w:r>
            <w:r>
              <w:rPr>
                <w:rFonts w:hint="eastAsia"/>
                <w:sz w:val="28"/>
                <w:szCs w:val="28"/>
              </w:rPr>
              <w:t>国家有关文件精神</w:t>
            </w:r>
            <w:r>
              <w:rPr>
                <w:sz w:val="28"/>
                <w:szCs w:val="28"/>
              </w:rPr>
              <w:t>，南网发布</w:t>
            </w:r>
            <w:r>
              <w:rPr>
                <w:rFonts w:hint="eastAsia"/>
                <w:sz w:val="28"/>
                <w:szCs w:val="28"/>
              </w:rPr>
              <w:t>相关文件</w:t>
            </w:r>
            <w:r>
              <w:rPr>
                <w:sz w:val="28"/>
                <w:szCs w:val="28"/>
              </w:rPr>
              <w:t>，决定成立广州可再生能源发展结算服务有限公司。公司是政府授权、由南网牵头设立、承担可再生能源补贴资金管理业务并按市场化运作的特殊目的公司。经营范围是开展可再生能源补贴资金的统计和管理，以及缺口部分的专项融资和还本付息等工作。经营期限是执照签发之日至可再生能源补贴缺口清零及全部专项融资本息偿付完毕。设立原则是承担政策性业务，不以营利为目的，在财政拨款基础上，补贴资金缺口按照市场化原则通过专项融资解决，专项融资本息在可再生能源发展基金预算中列支，并与电网输配电业务隔离。</w:t>
            </w:r>
          </w:p>
          <w:p w:rsidR="005011A4" w:rsidRDefault="005226AA">
            <w:pPr>
              <w:spacing w:line="520" w:lineRule="exact"/>
              <w:ind w:firstLine="560"/>
              <w:textAlignment w:val="auto"/>
              <w:rPr>
                <w:sz w:val="28"/>
                <w:szCs w:val="28"/>
              </w:rPr>
            </w:pPr>
            <w:r>
              <w:rPr>
                <w:sz w:val="28"/>
                <w:szCs w:val="28"/>
              </w:rPr>
              <w:t>文件明</w:t>
            </w:r>
            <w:r>
              <w:rPr>
                <w:sz w:val="28"/>
                <w:szCs w:val="28"/>
              </w:rPr>
              <w:t>确公司主要职责包括：负责协助组织开展可再生能源发电项目补贴清单审核；负责南方电网公司经营区域内可再生能源发电补贴的年度、月度需求汇总统计，编制年度、月度资金需求计划，按现行预算管理模式协助向财政部申请补贴资金并及时转拨省级电网公司，以及对补贴资金缺口开展专项融资；负责补贴资金缺口专项融资日常管理工作，包括与金融机构开展融资合同谈判和起草、债券发行、到期</w:t>
            </w:r>
            <w:r>
              <w:rPr>
                <w:sz w:val="28"/>
                <w:szCs w:val="28"/>
              </w:rPr>
              <w:lastRenderedPageBreak/>
              <w:t>兑付、信息披露、信用评级等；以及有关信息报送、落实补贴的监督核查等等。</w:t>
            </w:r>
          </w:p>
        </w:tc>
      </w:tr>
    </w:tbl>
    <w:p w:rsidR="005011A4" w:rsidRDefault="005011A4">
      <w:pPr>
        <w:rPr>
          <w:rFonts w:eastAsia="方正楷体_GBK"/>
        </w:rPr>
      </w:pPr>
    </w:p>
    <w:p w:rsidR="005011A4" w:rsidRDefault="005226AA">
      <w:pPr>
        <w:adjustRightInd w:val="0"/>
        <w:snapToGrid w:val="0"/>
        <w:textAlignment w:val="auto"/>
        <w:rPr>
          <w:rFonts w:eastAsia="方正楷体_GBK"/>
        </w:rPr>
      </w:pPr>
      <w:r>
        <w:rPr>
          <w:rFonts w:eastAsia="方正楷体_GBK"/>
        </w:rPr>
        <w:t>主要政策点</w:t>
      </w:r>
      <w:r>
        <w:rPr>
          <w:rFonts w:eastAsia="方正楷体_GBK"/>
        </w:rPr>
        <w:t>3</w:t>
      </w:r>
      <w:r>
        <w:rPr>
          <w:rFonts w:eastAsia="方正楷体_GBK"/>
        </w:rPr>
        <w:t>：支持金融机构提供绿色资产支持（商业）票据、保理等创新方案，解决新能源</w:t>
      </w:r>
      <w:r>
        <w:rPr>
          <w:rFonts w:eastAsia="方正楷体_GBK"/>
        </w:rPr>
        <w:t>企业资金需求。</w:t>
      </w:r>
    </w:p>
    <w:p w:rsidR="005011A4" w:rsidRDefault="005226AA">
      <w:r>
        <w:t>碳达峰碳中和目标下，</w:t>
      </w:r>
      <w:r>
        <w:rPr>
          <w:rFonts w:ascii="方正仿宋_GBK" w:hAnsi="方正仿宋_GBK" w:hint="eastAsia"/>
        </w:rPr>
        <w:t>“</w:t>
      </w:r>
      <w:r>
        <w:t>十四五</w:t>
      </w:r>
      <w:r>
        <w:rPr>
          <w:rFonts w:ascii="方正仿宋_GBK" w:hAnsi="方正仿宋_GBK" w:hint="eastAsia"/>
        </w:rPr>
        <w:t>”</w:t>
      </w:r>
      <w:r>
        <w:t>新能源需要实现跃升发展，其后发展规模将继续扩大，新能源项目开发规模增加，开发企业对于融资需求也将显著增加。对于新增新能源发电项目，一方面实现了平价上网，将不再有补贴政策调整带来的影响，另一方面随着电力体制改革和电力市场化的推进，新能源参与电力市场的范围和规模都在扩大，参与电力市场的方式和交易形式多样化，各省份间进度不同，跨省跨区间交易等规则也在探索变化，新能源项目的收益方式、商业模式也呈现多样性，带来不同的融资需求。因此，金融机构应根据平价新能源项目特点，调整和</w:t>
      </w:r>
      <w:r>
        <w:t>完善授信评估规则，提供新能源等绿色资产支持（商业）票据、保理等创新方案，尤其考虑新能源量大面广的特点，通过创新方案，可在支持中小型新能源企业融资方面发挥有效作用。</w:t>
      </w:r>
    </w:p>
    <w:p w:rsidR="005011A4" w:rsidRDefault="005226AA">
      <w:r>
        <w:t>在绿色资产支持票据方面，部分金融机构已经启动了创新方案，</w:t>
      </w:r>
      <w:r>
        <w:rPr>
          <w:color w:val="000000"/>
        </w:rPr>
        <w:t>在现行资产支持票据规则体系下，推出支持绿色资产的商业票据，部分新能源被纳入支持范围，一些项目已经获益。保理</w:t>
      </w:r>
      <w:r>
        <w:t>方面，近年来商业保理公司发展迅猛，商业银行如何加强与商业保理公司合作，服务更多中小企业，支持实体经济发展，也成为热议话题。金融机</w:t>
      </w:r>
      <w:r>
        <w:lastRenderedPageBreak/>
        <w:t>构应积极发展绿色产业保理业务，将新能源作为一个重要领域，创</w:t>
      </w:r>
      <w:r>
        <w:t>新方案，如商业银行可为卖方提供有追索权的保理融资，买方在出售新能源产品或研发新能源技术后向商业银行分期支付应收账款，从而优化新能源项目资金周转。</w:t>
      </w: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5011A4">
        <w:trPr>
          <w:trHeight w:val="520"/>
          <w:jc w:val="center"/>
        </w:trPr>
        <w:tc>
          <w:tcPr>
            <w:tcW w:w="8744" w:type="dxa"/>
          </w:tcPr>
          <w:p w:rsidR="005011A4" w:rsidRDefault="005226AA">
            <w:pPr>
              <w:pStyle w:val="af4"/>
              <w:ind w:firstLineChars="0" w:firstLine="0"/>
              <w:rPr>
                <w:sz w:val="30"/>
                <w:szCs w:val="30"/>
              </w:rPr>
            </w:pPr>
            <w:r>
              <w:rPr>
                <w:sz w:val="30"/>
                <w:szCs w:val="30"/>
              </w:rPr>
              <w:t>案例</w:t>
            </w:r>
            <w:r>
              <w:rPr>
                <w:sz w:val="30"/>
                <w:szCs w:val="30"/>
              </w:rPr>
              <w:t>7-</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7</w:t>
            </w:r>
            <w:r>
              <w:rPr>
                <w:sz w:val="30"/>
                <w:szCs w:val="30"/>
              </w:rPr>
              <w:fldChar w:fldCharType="end"/>
            </w:r>
            <w:r>
              <w:rPr>
                <w:sz w:val="30"/>
                <w:szCs w:val="30"/>
              </w:rPr>
              <w:t>绿色资产支持（商业）票据使新能源项目受益</w:t>
            </w:r>
          </w:p>
        </w:tc>
      </w:tr>
      <w:tr w:rsidR="005011A4">
        <w:trPr>
          <w:jc w:val="center"/>
        </w:trPr>
        <w:tc>
          <w:tcPr>
            <w:tcW w:w="8744" w:type="dxa"/>
          </w:tcPr>
          <w:p w:rsidR="005011A4" w:rsidRDefault="005226AA">
            <w:pPr>
              <w:spacing w:line="520" w:lineRule="exact"/>
              <w:ind w:firstLine="560"/>
              <w:textAlignment w:val="auto"/>
              <w:rPr>
                <w:sz w:val="28"/>
                <w:szCs w:val="28"/>
              </w:rPr>
            </w:pPr>
            <w:r>
              <w:rPr>
                <w:sz w:val="28"/>
                <w:szCs w:val="28"/>
              </w:rPr>
              <w:t>银行间市场交易商协会立足实体经济，解决服务痛点，在现行资产支持票据规则体系下，推出资产支持类融资直达创新产品资产支持商业票据（</w:t>
            </w:r>
            <w:r>
              <w:rPr>
                <w:sz w:val="28"/>
                <w:szCs w:val="28"/>
              </w:rPr>
              <w:t>ABCP</w:t>
            </w:r>
            <w:r>
              <w:rPr>
                <w:sz w:val="28"/>
                <w:szCs w:val="28"/>
              </w:rPr>
              <w:t>）。与传统信用类债券相比，</w:t>
            </w:r>
            <w:r>
              <w:rPr>
                <w:sz w:val="28"/>
                <w:szCs w:val="28"/>
              </w:rPr>
              <w:t>ABCP</w:t>
            </w:r>
            <w:r>
              <w:rPr>
                <w:sz w:val="28"/>
                <w:szCs w:val="28"/>
              </w:rPr>
              <w:t>具有</w:t>
            </w:r>
            <w:r>
              <w:rPr>
                <w:rFonts w:ascii="方正仿宋_GBK" w:hAnsi="方正仿宋_GBK" w:hint="eastAsia"/>
                <w:sz w:val="28"/>
                <w:szCs w:val="28"/>
              </w:rPr>
              <w:t>“</w:t>
            </w:r>
            <w:r>
              <w:rPr>
                <w:sz w:val="28"/>
                <w:szCs w:val="28"/>
              </w:rPr>
              <w:t>资产支持</w:t>
            </w:r>
            <w:r>
              <w:rPr>
                <w:rFonts w:ascii="方正仿宋_GBK" w:hAnsi="方正仿宋_GBK" w:hint="eastAsia"/>
                <w:sz w:val="28"/>
                <w:szCs w:val="28"/>
              </w:rPr>
              <w:t>”</w:t>
            </w:r>
            <w:r>
              <w:rPr>
                <w:sz w:val="28"/>
                <w:szCs w:val="28"/>
              </w:rPr>
              <w:t>的特点，通过滚动发行解决常规资产证券化产品效率不足的问题，提升资产周转率，为企业提供了更为灵活和市场化的降杠杆工具，拓宽了新型债权融资渠道。</w:t>
            </w:r>
          </w:p>
          <w:p w:rsidR="005011A4" w:rsidRDefault="005226AA">
            <w:pPr>
              <w:spacing w:line="520" w:lineRule="exact"/>
              <w:ind w:firstLine="560"/>
              <w:textAlignment w:val="auto"/>
              <w:rPr>
                <w:sz w:val="28"/>
                <w:szCs w:val="28"/>
              </w:rPr>
            </w:pPr>
            <w:r>
              <w:rPr>
                <w:sz w:val="28"/>
                <w:szCs w:val="28"/>
              </w:rPr>
              <w:t>兴业银行将</w:t>
            </w:r>
            <w:r>
              <w:rPr>
                <w:sz w:val="28"/>
                <w:szCs w:val="28"/>
              </w:rPr>
              <w:t>ABCP</w:t>
            </w:r>
            <w:r>
              <w:rPr>
                <w:sz w:val="28"/>
                <w:szCs w:val="28"/>
              </w:rPr>
              <w:t>与绿色债券相融合，在</w:t>
            </w:r>
            <w:r>
              <w:rPr>
                <w:sz w:val="28"/>
                <w:szCs w:val="28"/>
              </w:rPr>
              <w:t>2020</w:t>
            </w:r>
            <w:r>
              <w:rPr>
                <w:sz w:val="28"/>
                <w:szCs w:val="28"/>
              </w:rPr>
              <w:t>年</w:t>
            </w:r>
            <w:r>
              <w:rPr>
                <w:sz w:val="28"/>
                <w:szCs w:val="28"/>
              </w:rPr>
              <w:t>11</w:t>
            </w:r>
            <w:r>
              <w:rPr>
                <w:sz w:val="28"/>
                <w:szCs w:val="28"/>
              </w:rPr>
              <w:t>月推出市场首单绿色资产支持商业票据，为</w:t>
            </w:r>
            <w:r>
              <w:rPr>
                <w:sz w:val="28"/>
                <w:szCs w:val="28"/>
              </w:rPr>
              <w:t>16</w:t>
            </w:r>
            <w:r>
              <w:rPr>
                <w:sz w:val="28"/>
                <w:szCs w:val="28"/>
              </w:rPr>
              <w:t>家小微企业的</w:t>
            </w:r>
            <w:r>
              <w:rPr>
                <w:sz w:val="28"/>
                <w:szCs w:val="28"/>
              </w:rPr>
              <w:t>17</w:t>
            </w:r>
            <w:r>
              <w:rPr>
                <w:sz w:val="28"/>
                <w:szCs w:val="28"/>
              </w:rPr>
              <w:t>个项目提供融资支持，包括</w:t>
            </w:r>
            <w:r>
              <w:rPr>
                <w:sz w:val="28"/>
                <w:szCs w:val="28"/>
              </w:rPr>
              <w:t>8</w:t>
            </w:r>
            <w:r>
              <w:rPr>
                <w:sz w:val="28"/>
                <w:szCs w:val="28"/>
              </w:rPr>
              <w:t>个风光发电项目，以及</w:t>
            </w:r>
            <w:r>
              <w:rPr>
                <w:sz w:val="28"/>
                <w:szCs w:val="28"/>
              </w:rPr>
              <w:t>9</w:t>
            </w:r>
            <w:r>
              <w:rPr>
                <w:sz w:val="28"/>
                <w:szCs w:val="28"/>
              </w:rPr>
              <w:t>个新能源汽车、集中供热、污染防治、资源回收利用项目。第一期绿色资产支持商业票据的项目注册规模</w:t>
            </w:r>
            <w:r>
              <w:rPr>
                <w:sz w:val="28"/>
                <w:szCs w:val="28"/>
              </w:rPr>
              <w:t>15</w:t>
            </w:r>
            <w:r>
              <w:rPr>
                <w:sz w:val="28"/>
                <w:szCs w:val="28"/>
              </w:rPr>
              <w:t>亿元，首次发行规模</w:t>
            </w:r>
            <w:r>
              <w:rPr>
                <w:sz w:val="28"/>
                <w:szCs w:val="28"/>
              </w:rPr>
              <w:t>10.5</w:t>
            </w:r>
            <w:r>
              <w:rPr>
                <w:sz w:val="28"/>
                <w:szCs w:val="28"/>
              </w:rPr>
              <w:t>亿元，期限</w:t>
            </w:r>
            <w:r>
              <w:rPr>
                <w:sz w:val="28"/>
                <w:szCs w:val="28"/>
              </w:rPr>
              <w:t>30</w:t>
            </w:r>
            <w:r>
              <w:rPr>
                <w:sz w:val="28"/>
                <w:szCs w:val="28"/>
              </w:rPr>
              <w:t>天。</w:t>
            </w:r>
          </w:p>
          <w:p w:rsidR="005011A4" w:rsidRDefault="005226AA">
            <w:pPr>
              <w:spacing w:line="520" w:lineRule="exact"/>
              <w:ind w:firstLine="560"/>
              <w:textAlignment w:val="auto"/>
              <w:rPr>
                <w:rFonts w:eastAsia="仿宋_GB2312"/>
                <w:color w:val="000000"/>
                <w:sz w:val="28"/>
                <w:szCs w:val="28"/>
              </w:rPr>
            </w:pPr>
            <w:r>
              <w:rPr>
                <w:sz w:val="28"/>
                <w:szCs w:val="28"/>
              </w:rPr>
              <w:t>北京银行在</w:t>
            </w:r>
            <w:r>
              <w:rPr>
                <w:sz w:val="28"/>
                <w:szCs w:val="28"/>
              </w:rPr>
              <w:t>2021</w:t>
            </w:r>
            <w:r>
              <w:rPr>
                <w:sz w:val="28"/>
                <w:szCs w:val="28"/>
              </w:rPr>
              <w:t>年</w:t>
            </w:r>
            <w:r>
              <w:rPr>
                <w:sz w:val="28"/>
                <w:szCs w:val="28"/>
              </w:rPr>
              <w:t>12</w:t>
            </w:r>
            <w:r>
              <w:rPr>
                <w:sz w:val="28"/>
                <w:szCs w:val="28"/>
              </w:rPr>
              <w:t>月提供了供应链绿色资产支持票据承销业务，规模超过</w:t>
            </w:r>
            <w:r>
              <w:rPr>
                <w:sz w:val="28"/>
                <w:szCs w:val="28"/>
              </w:rPr>
              <w:t>2</w:t>
            </w:r>
            <w:r>
              <w:rPr>
                <w:sz w:val="28"/>
                <w:szCs w:val="28"/>
              </w:rPr>
              <w:t>亿元，支持垃圾焚烧发电等绿色产业项目，基础资产现金流全部来源于绿色产业领域收入。</w:t>
            </w:r>
          </w:p>
        </w:tc>
      </w:tr>
    </w:tbl>
    <w:p w:rsidR="005011A4" w:rsidRDefault="005011A4"/>
    <w:p w:rsidR="005011A4" w:rsidRDefault="005226AA">
      <w:pPr>
        <w:pStyle w:val="2"/>
        <w:rPr>
          <w:rFonts w:ascii="Times New Roman"/>
        </w:rPr>
      </w:pPr>
      <w:bookmarkStart w:id="8" w:name="_Toc110078594"/>
      <w:bookmarkStart w:id="9" w:name="_Toc128756549"/>
      <w:r>
        <w:rPr>
          <w:rFonts w:ascii="Times New Roman"/>
        </w:rPr>
        <w:t>（二十一）丰富绿色金融产品服务</w:t>
      </w:r>
      <w:bookmarkEnd w:id="8"/>
      <w:bookmarkEnd w:id="9"/>
    </w:p>
    <w:p w:rsidR="005011A4" w:rsidRDefault="005226AA">
      <w:pPr>
        <w:adjustRightInd w:val="0"/>
        <w:snapToGrid w:val="0"/>
        <w:textAlignment w:val="auto"/>
        <w:rPr>
          <w:rFonts w:eastAsia="方正楷体_GBK"/>
        </w:rPr>
      </w:pPr>
      <w:r>
        <w:rPr>
          <w:rFonts w:eastAsia="方正楷体_GBK"/>
        </w:rPr>
        <w:t>主要政策点</w:t>
      </w:r>
      <w:r>
        <w:rPr>
          <w:rFonts w:eastAsia="方正楷体_GBK"/>
        </w:rPr>
        <w:t>1</w:t>
      </w:r>
      <w:r>
        <w:rPr>
          <w:rFonts w:eastAsia="方正楷体_GBK"/>
        </w:rPr>
        <w:t>：合理界定新能源绿色金融项目的信用评级标准</w:t>
      </w:r>
      <w:r>
        <w:rPr>
          <w:rFonts w:eastAsia="方正楷体_GBK" w:hint="eastAsia"/>
        </w:rPr>
        <w:t>和</w:t>
      </w:r>
      <w:r>
        <w:rPr>
          <w:rFonts w:eastAsia="方正楷体_GBK"/>
        </w:rPr>
        <w:t>评估准入条件。加大绿色债券、绿色信贷对新能源项目的支持力</w:t>
      </w:r>
      <w:r>
        <w:rPr>
          <w:rFonts w:eastAsia="方正楷体_GBK"/>
        </w:rPr>
        <w:lastRenderedPageBreak/>
        <w:t>度。</w:t>
      </w:r>
    </w:p>
    <w:p w:rsidR="005011A4" w:rsidRDefault="005226AA">
      <w:r>
        <w:t>新能源开发、运营和应用所涉及的企业量大面广，融资需求和融资难点不一，融资需求高。目前</w:t>
      </w:r>
      <w:r>
        <w:rPr>
          <w:rFonts w:hint="eastAsia"/>
        </w:rPr>
        <w:t>，</w:t>
      </w:r>
      <w:r>
        <w:t>大部分新能源企业以银行贷款和融资租赁等间接融资方式为主，在没有绿色信贷政策支持之前，新能源项目存在银行借款授信主体不</w:t>
      </w:r>
      <w:r>
        <w:t>匹配、授信品种不匹配、授信审批时间长以及强担保要求高等问题，导致部分企业，尤其是民营企业</w:t>
      </w:r>
      <w:r>
        <w:rPr>
          <w:rFonts w:ascii="方正仿宋_GBK" w:hAnsi="方正仿宋_GBK" w:hint="eastAsia"/>
        </w:rPr>
        <w:t>“</w:t>
      </w:r>
      <w:r>
        <w:t>融资难</w:t>
      </w:r>
      <w:r>
        <w:rPr>
          <w:rFonts w:ascii="方正仿宋_GBK" w:hAnsi="方正仿宋_GBK" w:hint="eastAsia"/>
        </w:rPr>
        <w:t>”</w:t>
      </w:r>
      <w:r>
        <w:t>、</w:t>
      </w:r>
      <w:r>
        <w:rPr>
          <w:rFonts w:ascii="方正仿宋_GBK" w:hAnsi="方正仿宋_GBK" w:hint="eastAsia"/>
        </w:rPr>
        <w:t>“</w:t>
      </w:r>
      <w:r>
        <w:t>融资贵</w:t>
      </w:r>
      <w:r>
        <w:rPr>
          <w:rFonts w:ascii="方正仿宋_GBK" w:hAnsi="方正仿宋_GBK" w:hint="eastAsia"/>
        </w:rPr>
        <w:t>”</w:t>
      </w:r>
      <w:r>
        <w:t>等。而直接融资方式，比如发行绿色债券等，还存在较多的限制和障碍。因此需要丰富绿色金融产品和服务，通过合理界定新能源绿色金融项目的信用评级标准和准入条件，加大对新能源项目的支持力度，为新能源企业提供更便利、更廉价、覆盖更广的融资服务。比如，通过绿色债券、绿色基金等可提升新能源企业直接融资比重；通过绿色信贷降低新能源项目长期贷款利率。</w:t>
      </w:r>
    </w:p>
    <w:p w:rsidR="005011A4" w:rsidRDefault="005226AA">
      <w:r>
        <w:t>近年来，央行陆续出台了一系列绿色金融政策，支持助力碳达峰碳中和。</w:t>
      </w:r>
      <w:r>
        <w:rPr>
          <w:rFonts w:hint="eastAsia"/>
        </w:rPr>
        <w:t>一是</w:t>
      </w:r>
      <w:r>
        <w:t>明确绿色金融的标准，</w:t>
      </w:r>
      <w:r>
        <w:t>2018</w:t>
      </w:r>
      <w:r>
        <w:t>年央行牵头成立绿色金融标准工作组，推动绿色金融标准体系建设，并已发布了《绿色债券支持项目目录（</w:t>
      </w:r>
      <w:r>
        <w:t>2021</w:t>
      </w:r>
      <w:r>
        <w:t>年版）》等</w:t>
      </w:r>
      <w:r>
        <w:t>3</w:t>
      </w:r>
      <w:r>
        <w:t>项标准，</w:t>
      </w:r>
      <w:r>
        <w:t>10</w:t>
      </w:r>
      <w:r>
        <w:t>余项标准进入立项或征求意见。</w:t>
      </w:r>
      <w:r>
        <w:rPr>
          <w:rFonts w:hint="eastAsia"/>
        </w:rPr>
        <w:t>二是</w:t>
      </w:r>
      <w:r>
        <w:t>不断健全绿色金融激励和评价机制，</w:t>
      </w:r>
      <w:r>
        <w:t>2018</w:t>
      </w:r>
      <w:r>
        <w:t>年起央行全面开展银行业金融机构绿色信贷业绩评价，</w:t>
      </w:r>
      <w:r>
        <w:t>2021</w:t>
      </w:r>
      <w:r>
        <w:t>年升级为绿色金融评价，并将绿色债券业务纳入评价范围，引导金融机构有序增加绿色资产配置。</w:t>
      </w:r>
    </w:p>
    <w:p w:rsidR="005011A4" w:rsidRDefault="005226AA">
      <w:r>
        <w:t>在《实施方案》起草和征求各部门意见过程中，国务院有关部</w:t>
      </w:r>
      <w:r>
        <w:lastRenderedPageBreak/>
        <w:t>门又结合相关思路出台了一</w:t>
      </w:r>
      <w:r>
        <w:rPr>
          <w:rFonts w:hint="eastAsia"/>
        </w:rPr>
        <w:t>系列</w:t>
      </w:r>
      <w:r>
        <w:t>绿色金融支持政策，《实施方案》发布后将进入政策加强落实阶段。</w:t>
      </w:r>
      <w:r>
        <w:t>比如对于绿色信贷，</w:t>
      </w:r>
      <w:r>
        <w:t>2021</w:t>
      </w:r>
      <w:r>
        <w:t>年</w:t>
      </w:r>
      <w:r>
        <w:t>11</w:t>
      </w:r>
      <w:r>
        <w:t>月央行明确提供碳减排支持</w:t>
      </w:r>
      <w:r>
        <w:rPr>
          <w:rFonts w:hint="eastAsia"/>
        </w:rPr>
        <w:t>的</w:t>
      </w:r>
      <w:r>
        <w:t>结构性货币政策工具，以稳步有序、精准直达方式，支持清洁能源（风电、光伏、生物质、</w:t>
      </w:r>
      <w:r>
        <w:rPr>
          <w:color w:val="000000"/>
        </w:rPr>
        <w:t>风光源网荷储一体化项目、户用分布式光伏整县</w:t>
      </w:r>
      <w:r>
        <w:t>等）、节能环保、碳减排技术等重点领域的发展，发放对象为全国性金融机构，再由金融机构向碳减排重点领域内相关企业发放符合条件的碳减排贷款，按贷款本金的</w:t>
      </w:r>
      <w:r>
        <w:t>60%</w:t>
      </w:r>
      <w:r>
        <w:t>提供资金支持，利率为</w:t>
      </w:r>
      <w:r>
        <w:t>1.75%</w:t>
      </w:r>
      <w:r>
        <w:t>。这是央行最优惠的利率，截</w:t>
      </w:r>
      <w:r>
        <w:rPr>
          <w:rFonts w:hint="eastAsia"/>
        </w:rPr>
        <w:t>至</w:t>
      </w:r>
      <w:r>
        <w:t>2022</w:t>
      </w:r>
      <w:r>
        <w:t>年</w:t>
      </w:r>
      <w:r>
        <w:t>2</w:t>
      </w:r>
      <w:r>
        <w:t>月底，央行已通过该工具支持金融机构发放贷款</w:t>
      </w:r>
      <w:r>
        <w:t>2308</w:t>
      </w:r>
      <w:r>
        <w:t>亿元。</w:t>
      </w: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5011A4">
        <w:trPr>
          <w:trHeight w:val="520"/>
          <w:jc w:val="center"/>
        </w:trPr>
        <w:tc>
          <w:tcPr>
            <w:tcW w:w="8744" w:type="dxa"/>
          </w:tcPr>
          <w:p w:rsidR="005011A4" w:rsidRDefault="005226AA">
            <w:pPr>
              <w:pStyle w:val="af4"/>
              <w:ind w:firstLineChars="0" w:firstLine="0"/>
              <w:rPr>
                <w:sz w:val="30"/>
                <w:szCs w:val="30"/>
              </w:rPr>
            </w:pPr>
            <w:r>
              <w:rPr>
                <w:sz w:val="30"/>
                <w:szCs w:val="30"/>
              </w:rPr>
              <w:t>案例</w:t>
            </w:r>
            <w:r>
              <w:rPr>
                <w:sz w:val="30"/>
                <w:szCs w:val="30"/>
              </w:rPr>
              <w:t>7-</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8</w:t>
            </w:r>
            <w:r>
              <w:rPr>
                <w:sz w:val="30"/>
                <w:szCs w:val="30"/>
              </w:rPr>
              <w:fldChar w:fldCharType="end"/>
            </w:r>
            <w:r>
              <w:rPr>
                <w:sz w:val="30"/>
                <w:szCs w:val="30"/>
              </w:rPr>
              <w:t>我国绿色信贷快速发展</w:t>
            </w:r>
          </w:p>
        </w:tc>
      </w:tr>
      <w:tr w:rsidR="005011A4">
        <w:trPr>
          <w:jc w:val="center"/>
        </w:trPr>
        <w:tc>
          <w:tcPr>
            <w:tcW w:w="8744" w:type="dxa"/>
          </w:tcPr>
          <w:p w:rsidR="005011A4" w:rsidRDefault="005226AA">
            <w:pPr>
              <w:spacing w:line="520" w:lineRule="exact"/>
              <w:ind w:firstLine="560"/>
              <w:textAlignment w:val="auto"/>
              <w:rPr>
                <w:sz w:val="28"/>
                <w:szCs w:val="28"/>
              </w:rPr>
            </w:pPr>
            <w:r>
              <w:rPr>
                <w:sz w:val="28"/>
                <w:szCs w:val="28"/>
              </w:rPr>
              <w:t>中国人民银行日前发布的最新数据显示：</w:t>
            </w:r>
            <w:r>
              <w:rPr>
                <w:sz w:val="28"/>
                <w:szCs w:val="28"/>
              </w:rPr>
              <w:t>2022</w:t>
            </w:r>
            <w:r>
              <w:rPr>
                <w:sz w:val="28"/>
                <w:szCs w:val="28"/>
              </w:rPr>
              <w:t>年二季度末，我国本外币绿色贷款余额</w:t>
            </w:r>
            <w:r>
              <w:rPr>
                <w:sz w:val="28"/>
                <w:szCs w:val="28"/>
              </w:rPr>
              <w:t>19.55</w:t>
            </w:r>
            <w:r>
              <w:rPr>
                <w:sz w:val="28"/>
                <w:szCs w:val="28"/>
              </w:rPr>
              <w:t>万亿元，同比增长</w:t>
            </w:r>
            <w:r>
              <w:rPr>
                <w:sz w:val="28"/>
                <w:szCs w:val="28"/>
              </w:rPr>
              <w:t>40.4%</w:t>
            </w:r>
            <w:r>
              <w:rPr>
                <w:sz w:val="28"/>
                <w:szCs w:val="28"/>
              </w:rPr>
              <w:t>，比上年末高</w:t>
            </w:r>
            <w:r>
              <w:rPr>
                <w:sz w:val="28"/>
                <w:szCs w:val="28"/>
              </w:rPr>
              <w:t>7.4</w:t>
            </w:r>
            <w:r>
              <w:rPr>
                <w:sz w:val="28"/>
                <w:szCs w:val="28"/>
              </w:rPr>
              <w:t>个百分点，高于各项贷款增速</w:t>
            </w:r>
            <w:r>
              <w:rPr>
                <w:sz w:val="28"/>
                <w:szCs w:val="28"/>
              </w:rPr>
              <w:t>29.6</w:t>
            </w:r>
            <w:r>
              <w:rPr>
                <w:sz w:val="28"/>
                <w:szCs w:val="28"/>
              </w:rPr>
              <w:t>个百分点，上半年增加</w:t>
            </w:r>
            <w:r>
              <w:rPr>
                <w:sz w:val="28"/>
                <w:szCs w:val="28"/>
              </w:rPr>
              <w:t>3.53</w:t>
            </w:r>
            <w:r>
              <w:rPr>
                <w:sz w:val="28"/>
                <w:szCs w:val="28"/>
              </w:rPr>
              <w:t>万亿元。</w:t>
            </w:r>
          </w:p>
          <w:p w:rsidR="005011A4" w:rsidRDefault="005226AA">
            <w:pPr>
              <w:spacing w:line="520" w:lineRule="exact"/>
              <w:ind w:firstLine="560"/>
              <w:textAlignment w:val="auto"/>
              <w:rPr>
                <w:sz w:val="28"/>
                <w:szCs w:val="28"/>
              </w:rPr>
            </w:pPr>
            <w:r>
              <w:rPr>
                <w:sz w:val="28"/>
                <w:szCs w:val="28"/>
              </w:rPr>
              <w:t>分用途看，基础设施绿色升级产业、清洁能源产业和节能环保产业贷款余额分别为</w:t>
            </w:r>
            <w:r>
              <w:rPr>
                <w:sz w:val="28"/>
                <w:szCs w:val="28"/>
              </w:rPr>
              <w:t>8.82</w:t>
            </w:r>
            <w:r>
              <w:rPr>
                <w:sz w:val="28"/>
                <w:szCs w:val="28"/>
              </w:rPr>
              <w:t>万亿元、</w:t>
            </w:r>
            <w:r>
              <w:rPr>
                <w:sz w:val="28"/>
                <w:szCs w:val="28"/>
              </w:rPr>
              <w:t>5.04</w:t>
            </w:r>
            <w:r>
              <w:rPr>
                <w:sz w:val="28"/>
                <w:szCs w:val="28"/>
              </w:rPr>
              <w:t>万亿元和</w:t>
            </w:r>
            <w:r>
              <w:rPr>
                <w:sz w:val="28"/>
                <w:szCs w:val="28"/>
              </w:rPr>
              <w:t>2.63</w:t>
            </w:r>
            <w:r>
              <w:rPr>
                <w:sz w:val="28"/>
                <w:szCs w:val="28"/>
              </w:rPr>
              <w:t>万亿元，同比分别增长</w:t>
            </w:r>
            <w:r>
              <w:rPr>
                <w:sz w:val="28"/>
                <w:szCs w:val="28"/>
              </w:rPr>
              <w:t>32.2%</w:t>
            </w:r>
            <w:r>
              <w:rPr>
                <w:sz w:val="28"/>
                <w:szCs w:val="28"/>
              </w:rPr>
              <w:t>、</w:t>
            </w:r>
            <w:r>
              <w:rPr>
                <w:sz w:val="28"/>
                <w:szCs w:val="28"/>
              </w:rPr>
              <w:t>40.8%</w:t>
            </w:r>
            <w:r>
              <w:rPr>
                <w:sz w:val="28"/>
                <w:szCs w:val="28"/>
              </w:rPr>
              <w:t>和</w:t>
            </w:r>
            <w:r>
              <w:rPr>
                <w:sz w:val="28"/>
                <w:szCs w:val="28"/>
              </w:rPr>
              <w:t>62.8%</w:t>
            </w:r>
            <w:r>
              <w:rPr>
                <w:sz w:val="28"/>
                <w:szCs w:val="28"/>
              </w:rPr>
              <w:t>。分行业看，电力、热力、燃气及水生产和供应业绿色贷款余额</w:t>
            </w:r>
            <w:r>
              <w:rPr>
                <w:sz w:val="28"/>
                <w:szCs w:val="28"/>
              </w:rPr>
              <w:t>5.08</w:t>
            </w:r>
            <w:r>
              <w:rPr>
                <w:sz w:val="28"/>
                <w:szCs w:val="28"/>
              </w:rPr>
              <w:t>万亿元，同比增长</w:t>
            </w:r>
            <w:r>
              <w:rPr>
                <w:sz w:val="28"/>
                <w:szCs w:val="28"/>
              </w:rPr>
              <w:t>30.8%</w:t>
            </w:r>
            <w:r>
              <w:rPr>
                <w:sz w:val="28"/>
                <w:szCs w:val="28"/>
              </w:rPr>
              <w:t>，上半年增加</w:t>
            </w:r>
            <w:r>
              <w:rPr>
                <w:sz w:val="28"/>
                <w:szCs w:val="28"/>
              </w:rPr>
              <w:t>6039</w:t>
            </w:r>
            <w:r>
              <w:rPr>
                <w:sz w:val="28"/>
                <w:szCs w:val="28"/>
              </w:rPr>
              <w:t>亿元；交通运输、仓储和邮政业绿色贷款余额</w:t>
            </w:r>
            <w:r>
              <w:rPr>
                <w:sz w:val="28"/>
                <w:szCs w:val="28"/>
              </w:rPr>
              <w:t>4.39</w:t>
            </w:r>
            <w:r>
              <w:rPr>
                <w:sz w:val="28"/>
                <w:szCs w:val="28"/>
              </w:rPr>
              <w:t>万亿元，同比增长</w:t>
            </w:r>
            <w:r>
              <w:rPr>
                <w:sz w:val="28"/>
                <w:szCs w:val="28"/>
              </w:rPr>
              <w:t>10.3%</w:t>
            </w:r>
            <w:r>
              <w:rPr>
                <w:sz w:val="28"/>
                <w:szCs w:val="28"/>
              </w:rPr>
              <w:t>，上半年增加</w:t>
            </w:r>
            <w:r>
              <w:rPr>
                <w:sz w:val="28"/>
                <w:szCs w:val="28"/>
              </w:rPr>
              <w:t>2631</w:t>
            </w:r>
            <w:r>
              <w:rPr>
                <w:sz w:val="28"/>
                <w:szCs w:val="28"/>
              </w:rPr>
              <w:t>亿元。</w:t>
            </w:r>
          </w:p>
          <w:p w:rsidR="005011A4" w:rsidRDefault="005226AA">
            <w:pPr>
              <w:spacing w:line="520" w:lineRule="exact"/>
              <w:ind w:firstLine="560"/>
              <w:textAlignment w:val="auto"/>
              <w:rPr>
                <w:rFonts w:eastAsia="仿宋_GB2312"/>
                <w:color w:val="000000"/>
                <w:sz w:val="28"/>
                <w:szCs w:val="28"/>
              </w:rPr>
            </w:pPr>
            <w:r>
              <w:rPr>
                <w:sz w:val="28"/>
                <w:szCs w:val="28"/>
              </w:rPr>
              <w:t>近年来，我国发展绿色金融取得了显著成效，已初步形成绿色贷款、绿色债券、绿色保险、绿色基金、绿色信托、碳金融产品等多层次绿色金融产品和市场体系。</w:t>
            </w:r>
          </w:p>
        </w:tc>
      </w:tr>
    </w:tbl>
    <w:p w:rsidR="005011A4" w:rsidRDefault="005011A4">
      <w:pPr>
        <w:rPr>
          <w:rFonts w:eastAsia="方正楷体_GBK"/>
        </w:rPr>
      </w:pPr>
    </w:p>
    <w:p w:rsidR="005011A4" w:rsidRDefault="005226AA">
      <w:pPr>
        <w:adjustRightInd w:val="0"/>
        <w:snapToGrid w:val="0"/>
        <w:textAlignment w:val="auto"/>
        <w:rPr>
          <w:rFonts w:eastAsia="方正楷体_GBK"/>
        </w:rPr>
      </w:pPr>
      <w:r>
        <w:rPr>
          <w:rFonts w:eastAsia="方正楷体_GBK"/>
        </w:rPr>
        <w:t>主要政策点</w:t>
      </w:r>
      <w:r>
        <w:rPr>
          <w:rFonts w:eastAsia="方正楷体_GBK"/>
        </w:rPr>
        <w:t>2</w:t>
      </w:r>
      <w:r>
        <w:rPr>
          <w:rFonts w:eastAsia="方正楷体_GBK"/>
        </w:rPr>
        <w:t>：研究探索将新能源项目纳入基础设施不动产投资信托基金（</w:t>
      </w:r>
      <w:r>
        <w:rPr>
          <w:rFonts w:eastAsia="方正楷体_GBK"/>
        </w:rPr>
        <w:t>REITs</w:t>
      </w:r>
      <w:r>
        <w:rPr>
          <w:rFonts w:eastAsia="方正楷体_GBK"/>
        </w:rPr>
        <w:t>）试点支持范围。</w:t>
      </w:r>
    </w:p>
    <w:p w:rsidR="005011A4" w:rsidRDefault="005226AA">
      <w:r>
        <w:t>REITs</w:t>
      </w:r>
      <w:r>
        <w:t>是把流动性较低、非证券形态的不动产，转化为资本市场上可流通交易基金的金融过程。基础设施</w:t>
      </w:r>
      <w:r>
        <w:t>REITs</w:t>
      </w:r>
      <w:r>
        <w:t>是国际通行的配置</w:t>
      </w:r>
      <w:r>
        <w:t>资产，具有流动性较高、收益相对稳定、安全性较强等特点，能有效盘活存量资产，拓宽社会资本投资渠道，提升企业直接融资比重。风电、光伏等新能源项目具有初始投资大、收益稳定和安全性较强的特点，适合发行基础设施</w:t>
      </w:r>
      <w:r>
        <w:t>REITs</w:t>
      </w:r>
      <w:r>
        <w:t>。将新能源项目纳入基础设施</w:t>
      </w:r>
      <w:r>
        <w:t>REITs</w:t>
      </w:r>
      <w:r>
        <w:t>试点支持范围，有利于新能源企业盘活存量新能源项目资产，提升资产周转速度，拓宽融资渠道，降低资产负债率，优化资产负债结构，有利于进一步增强企业开发新能源项目能力。</w:t>
      </w:r>
    </w:p>
    <w:p w:rsidR="005011A4" w:rsidRDefault="005226AA">
      <w:r>
        <w:t>2020</w:t>
      </w:r>
      <w:r>
        <w:t>年</w:t>
      </w:r>
      <w:r>
        <w:t>4</w:t>
      </w:r>
      <w:r>
        <w:t>月</w:t>
      </w:r>
      <w:r>
        <w:rPr>
          <w:rFonts w:hint="eastAsia"/>
        </w:rPr>
        <w:t>，</w:t>
      </w:r>
      <w:r>
        <w:t>中国证监会和国家发展改革委联合发布了《关于推进基础设施不动产投资信托基金（</w:t>
      </w:r>
      <w:r>
        <w:t>REITs</w:t>
      </w:r>
      <w:r>
        <w:t>）试</w:t>
      </w:r>
      <w:r>
        <w:t>点相关工作的通知》，我国基础设施</w:t>
      </w:r>
      <w:r>
        <w:t>REITs</w:t>
      </w:r>
      <w:r>
        <w:t>试点工作</w:t>
      </w:r>
      <w:r>
        <w:rPr>
          <w:rFonts w:hint="eastAsia"/>
        </w:rPr>
        <w:t>正式启动</w:t>
      </w:r>
      <w:r>
        <w:t>，但新能源项目没有被纳入试点范围。</w:t>
      </w:r>
      <w:r>
        <w:t>2021</w:t>
      </w:r>
      <w:r>
        <w:t>年</w:t>
      </w:r>
      <w:r>
        <w:t>6</w:t>
      </w:r>
      <w:r>
        <w:t>月</w:t>
      </w:r>
      <w:r>
        <w:rPr>
          <w:rFonts w:hint="eastAsia"/>
        </w:rPr>
        <w:t>，</w:t>
      </w:r>
      <w:r>
        <w:t>国家发展改革委印发《关于进一步做好基础设施领域不动产投资信托基金（</w:t>
      </w:r>
      <w:r>
        <w:t>REITs</w:t>
      </w:r>
      <w:r>
        <w:t>）试点工作的通知》，明确将风电、光伏、水电、天然气发电、生物质发电和核电等清洁能源项目纳入</w:t>
      </w:r>
      <w:r>
        <w:t>REITs</w:t>
      </w:r>
      <w:r>
        <w:t>试点支持范围。</w:t>
      </w:r>
      <w:r>
        <w:t>2021</w:t>
      </w:r>
      <w:r>
        <w:t>年</w:t>
      </w:r>
      <w:r>
        <w:t>12</w:t>
      </w:r>
      <w:r>
        <w:t>月</w:t>
      </w:r>
      <w:r>
        <w:rPr>
          <w:rFonts w:hint="eastAsia"/>
        </w:rPr>
        <w:t>，</w:t>
      </w:r>
      <w:r>
        <w:t>国家发展改革委又要求加快推进基础设施</w:t>
      </w:r>
      <w:r>
        <w:t>REITs</w:t>
      </w:r>
      <w:r>
        <w:t>试点有关工作，</w:t>
      </w:r>
      <w:r>
        <w:t>REITs</w:t>
      </w:r>
      <w:r>
        <w:t>发行工作进一步提速。在政策推动下，包括国电投、京能国际等新能源企业积极开展试点发行工作，盘活风电、光伏存量基础设施资产</w:t>
      </w:r>
      <w:r>
        <w:rPr>
          <w:rFonts w:hint="eastAsia"/>
        </w:rPr>
        <w:t>。</w:t>
      </w:r>
      <w:r>
        <w:t>国电投光</w:t>
      </w:r>
      <w:r>
        <w:lastRenderedPageBreak/>
        <w:t>伏类</w:t>
      </w:r>
      <w:r>
        <w:t>REITs</w:t>
      </w:r>
      <w:r>
        <w:t>项目已经</w:t>
      </w:r>
      <w:r>
        <w:rPr>
          <w:rFonts w:hint="eastAsia"/>
        </w:rPr>
        <w:t>成功</w:t>
      </w:r>
      <w:r>
        <w:t>发行。下一步，将进一步完善</w:t>
      </w:r>
      <w:r>
        <w:t>REITs</w:t>
      </w:r>
      <w:r>
        <w:t>发行程序，积极推进新能源项目挂牌并扩大支持规模。</w:t>
      </w: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5011A4">
        <w:trPr>
          <w:trHeight w:val="520"/>
          <w:jc w:val="center"/>
        </w:trPr>
        <w:tc>
          <w:tcPr>
            <w:tcW w:w="8744" w:type="dxa"/>
          </w:tcPr>
          <w:p w:rsidR="005011A4" w:rsidRDefault="005226AA">
            <w:pPr>
              <w:pStyle w:val="af4"/>
              <w:ind w:firstLineChars="0" w:firstLine="0"/>
              <w:rPr>
                <w:sz w:val="30"/>
                <w:szCs w:val="30"/>
              </w:rPr>
            </w:pPr>
            <w:r>
              <w:rPr>
                <w:sz w:val="30"/>
                <w:szCs w:val="30"/>
              </w:rPr>
              <w:t>案例</w:t>
            </w:r>
            <w:r>
              <w:rPr>
                <w:sz w:val="30"/>
                <w:szCs w:val="30"/>
              </w:rPr>
              <w:t>7-</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9</w:t>
            </w:r>
            <w:r>
              <w:rPr>
                <w:sz w:val="30"/>
                <w:szCs w:val="30"/>
              </w:rPr>
              <w:fldChar w:fldCharType="end"/>
            </w:r>
            <w:r>
              <w:rPr>
                <w:sz w:val="30"/>
                <w:szCs w:val="30"/>
              </w:rPr>
              <w:t>新能源</w:t>
            </w:r>
            <w:r>
              <w:rPr>
                <w:rFonts w:hint="eastAsia"/>
                <w:sz w:val="30"/>
                <w:szCs w:val="30"/>
              </w:rPr>
              <w:t>类</w:t>
            </w:r>
            <w:r>
              <w:rPr>
                <w:sz w:val="30"/>
                <w:szCs w:val="30"/>
              </w:rPr>
              <w:t>REITs</w:t>
            </w:r>
            <w:r>
              <w:rPr>
                <w:sz w:val="30"/>
                <w:szCs w:val="30"/>
              </w:rPr>
              <w:t>项目试点发行</w:t>
            </w:r>
          </w:p>
        </w:tc>
      </w:tr>
      <w:tr w:rsidR="005011A4">
        <w:trPr>
          <w:jc w:val="center"/>
        </w:trPr>
        <w:tc>
          <w:tcPr>
            <w:tcW w:w="8744" w:type="dxa"/>
          </w:tcPr>
          <w:p w:rsidR="005011A4" w:rsidRDefault="005226AA">
            <w:pPr>
              <w:spacing w:line="520" w:lineRule="exact"/>
              <w:ind w:firstLine="560"/>
              <w:textAlignment w:val="auto"/>
              <w:rPr>
                <w:rFonts w:eastAsia="仿宋_GB2312"/>
                <w:color w:val="000000"/>
                <w:sz w:val="28"/>
                <w:szCs w:val="28"/>
              </w:rPr>
            </w:pPr>
            <w:r>
              <w:rPr>
                <w:sz w:val="28"/>
                <w:szCs w:val="28"/>
              </w:rPr>
              <w:t>2022</w:t>
            </w:r>
            <w:r>
              <w:rPr>
                <w:sz w:val="28"/>
                <w:szCs w:val="28"/>
              </w:rPr>
              <w:t>年</w:t>
            </w:r>
            <w:r>
              <w:rPr>
                <w:sz w:val="28"/>
                <w:szCs w:val="28"/>
              </w:rPr>
              <w:t>7</w:t>
            </w:r>
            <w:r>
              <w:rPr>
                <w:sz w:val="28"/>
                <w:szCs w:val="28"/>
              </w:rPr>
              <w:t>月</w:t>
            </w:r>
            <w:r>
              <w:rPr>
                <w:sz w:val="28"/>
                <w:szCs w:val="28"/>
              </w:rPr>
              <w:t>15</w:t>
            </w:r>
            <w:r>
              <w:rPr>
                <w:sz w:val="28"/>
                <w:szCs w:val="28"/>
              </w:rPr>
              <w:t>日，国家电投所属铝电投资有限公司（简称</w:t>
            </w:r>
            <w:r>
              <w:rPr>
                <w:rFonts w:ascii="方正仿宋_GBK" w:hAnsi="方正仿宋_GBK" w:hint="eastAsia"/>
                <w:sz w:val="28"/>
                <w:szCs w:val="28"/>
              </w:rPr>
              <w:t>“</w:t>
            </w:r>
            <w:r>
              <w:rPr>
                <w:sz w:val="28"/>
                <w:szCs w:val="28"/>
              </w:rPr>
              <w:t>铝电公司</w:t>
            </w:r>
            <w:r>
              <w:rPr>
                <w:rFonts w:ascii="方正仿宋_GBK" w:hAnsi="方正仿宋_GBK" w:hint="eastAsia"/>
                <w:sz w:val="28"/>
                <w:szCs w:val="28"/>
              </w:rPr>
              <w:t>”</w:t>
            </w:r>
            <w:r>
              <w:rPr>
                <w:sz w:val="28"/>
                <w:szCs w:val="28"/>
              </w:rPr>
              <w:t>）发起的</w:t>
            </w:r>
            <w:r>
              <w:rPr>
                <w:rFonts w:ascii="方正仿宋_GBK" w:hAnsi="方正仿宋_GBK" w:hint="eastAsia"/>
                <w:sz w:val="28"/>
                <w:szCs w:val="28"/>
              </w:rPr>
              <w:t>“</w:t>
            </w:r>
            <w:r>
              <w:rPr>
                <w:sz w:val="28"/>
                <w:szCs w:val="28"/>
              </w:rPr>
              <w:t>国家电投</w:t>
            </w:r>
            <w:r>
              <w:rPr>
                <w:sz w:val="28"/>
                <w:szCs w:val="28"/>
              </w:rPr>
              <w:t>-</w:t>
            </w:r>
            <w:r>
              <w:rPr>
                <w:sz w:val="28"/>
                <w:szCs w:val="28"/>
              </w:rPr>
              <w:t>铝电公司能源基础设施投资绿色资产支持专项计划</w:t>
            </w:r>
            <w:r>
              <w:rPr>
                <w:rFonts w:ascii="方正仿宋_GBK" w:hAnsi="方正仿宋_GBK" w:hint="eastAsia"/>
                <w:sz w:val="28"/>
                <w:szCs w:val="28"/>
              </w:rPr>
              <w:t>”</w:t>
            </w:r>
            <w:r>
              <w:rPr>
                <w:sz w:val="28"/>
                <w:szCs w:val="28"/>
              </w:rPr>
              <w:t>成功簿记</w:t>
            </w:r>
            <w:r>
              <w:rPr>
                <w:rFonts w:hint="eastAsia"/>
                <w:sz w:val="28"/>
                <w:szCs w:val="28"/>
              </w:rPr>
              <w:t>。</w:t>
            </w:r>
            <w:r>
              <w:rPr>
                <w:sz w:val="28"/>
                <w:szCs w:val="28"/>
              </w:rPr>
              <w:t>该项目是全市场首单光伏基础设施</w:t>
            </w:r>
            <w:r>
              <w:rPr>
                <w:sz w:val="28"/>
                <w:szCs w:val="28"/>
              </w:rPr>
              <w:t>REITs</w:t>
            </w:r>
            <w:r>
              <w:rPr>
                <w:sz w:val="28"/>
                <w:szCs w:val="28"/>
              </w:rPr>
              <w:t>，发行规模</w:t>
            </w:r>
            <w:r>
              <w:rPr>
                <w:sz w:val="28"/>
                <w:szCs w:val="28"/>
              </w:rPr>
              <w:t>6.32</w:t>
            </w:r>
            <w:r>
              <w:rPr>
                <w:sz w:val="28"/>
                <w:szCs w:val="28"/>
              </w:rPr>
              <w:t>亿元，发行利率为</w:t>
            </w:r>
            <w:r>
              <w:rPr>
                <w:sz w:val="28"/>
                <w:szCs w:val="28"/>
              </w:rPr>
              <w:t>3.20%</w:t>
            </w:r>
            <w:r>
              <w:rPr>
                <w:sz w:val="28"/>
                <w:szCs w:val="28"/>
              </w:rPr>
              <w:t>，创全市场类</w:t>
            </w:r>
            <w:r>
              <w:rPr>
                <w:sz w:val="28"/>
                <w:szCs w:val="28"/>
              </w:rPr>
              <w:t>REITs</w:t>
            </w:r>
            <w:r>
              <w:rPr>
                <w:sz w:val="28"/>
                <w:szCs w:val="28"/>
              </w:rPr>
              <w:t>历史最低纪录。该项目的底层基础资产为国家电投铝电公司投资建设的宁夏银川红墩子一、二期光伏电站项目和吴忠太阳山光伏电站项目。本次</w:t>
            </w:r>
            <w:r>
              <w:rPr>
                <w:sz w:val="28"/>
                <w:szCs w:val="28"/>
              </w:rPr>
              <w:t>REITs</w:t>
            </w:r>
            <w:r>
              <w:rPr>
                <w:sz w:val="28"/>
                <w:szCs w:val="28"/>
              </w:rPr>
              <w:t>的成功发行，为风电、光伏等新能源基础设施资产开展公募</w:t>
            </w:r>
            <w:r>
              <w:rPr>
                <w:sz w:val="28"/>
                <w:szCs w:val="28"/>
              </w:rPr>
              <w:t>REITs</w:t>
            </w:r>
            <w:r>
              <w:rPr>
                <w:sz w:val="28"/>
                <w:szCs w:val="28"/>
              </w:rPr>
              <w:t>业务积累了宝贵的经验，为盘活存量新能源基础设施资产提出了切实有效的实施方案。另外，还有多个以风电光伏为基础资产的</w:t>
            </w:r>
            <w:r>
              <w:rPr>
                <w:sz w:val="28"/>
                <w:szCs w:val="28"/>
              </w:rPr>
              <w:t>REITs</w:t>
            </w:r>
            <w:r>
              <w:rPr>
                <w:sz w:val="28"/>
                <w:szCs w:val="28"/>
              </w:rPr>
              <w:t>项目在积极申报中。比如，北京能源国际控股有限公司拟以</w:t>
            </w:r>
            <w:r>
              <w:rPr>
                <w:sz w:val="28"/>
                <w:szCs w:val="28"/>
              </w:rPr>
              <w:t>30</w:t>
            </w:r>
            <w:r>
              <w:rPr>
                <w:sz w:val="28"/>
                <w:szCs w:val="28"/>
              </w:rPr>
              <w:t>万千瓦和</w:t>
            </w:r>
            <w:r>
              <w:rPr>
                <w:sz w:val="28"/>
                <w:szCs w:val="28"/>
              </w:rPr>
              <w:t>10</w:t>
            </w:r>
            <w:r>
              <w:rPr>
                <w:sz w:val="28"/>
                <w:szCs w:val="28"/>
              </w:rPr>
              <w:t>万千瓦两座光伏电站</w:t>
            </w:r>
            <w:r>
              <w:rPr>
                <w:sz w:val="28"/>
                <w:szCs w:val="28"/>
              </w:rPr>
              <w:t>作为基础资产设立公募</w:t>
            </w:r>
            <w:r>
              <w:rPr>
                <w:sz w:val="28"/>
                <w:szCs w:val="28"/>
              </w:rPr>
              <w:t>REITs</w:t>
            </w:r>
            <w:r>
              <w:rPr>
                <w:sz w:val="28"/>
                <w:szCs w:val="28"/>
              </w:rPr>
              <w:t>，完成前期筹备及全套申报材料，</w:t>
            </w:r>
            <w:r>
              <w:rPr>
                <w:rFonts w:hint="eastAsia"/>
                <w:sz w:val="28"/>
                <w:szCs w:val="28"/>
              </w:rPr>
              <w:t>并</w:t>
            </w:r>
            <w:r>
              <w:rPr>
                <w:sz w:val="28"/>
                <w:szCs w:val="28"/>
              </w:rPr>
              <w:t>向监管机构进行申报，净募集资金用于光伏发电项目的新建或并购，以拓展公司业务规模。</w:t>
            </w:r>
          </w:p>
        </w:tc>
      </w:tr>
    </w:tbl>
    <w:p w:rsidR="005011A4" w:rsidRDefault="005011A4">
      <w:pPr>
        <w:adjustRightInd w:val="0"/>
        <w:snapToGrid w:val="0"/>
        <w:textAlignment w:val="auto"/>
        <w:rPr>
          <w:rFonts w:eastAsia="方正楷体_GBK"/>
        </w:rPr>
      </w:pPr>
    </w:p>
    <w:p w:rsidR="005011A4" w:rsidRDefault="005226AA">
      <w:pPr>
        <w:adjustRightInd w:val="0"/>
        <w:snapToGrid w:val="0"/>
        <w:textAlignment w:val="auto"/>
        <w:rPr>
          <w:rFonts w:eastAsia="方正楷体_GBK"/>
        </w:rPr>
      </w:pPr>
      <w:r>
        <w:rPr>
          <w:rFonts w:eastAsia="方正楷体_GBK"/>
        </w:rPr>
        <w:t>主要政策点</w:t>
      </w:r>
      <w:r>
        <w:rPr>
          <w:rFonts w:eastAsia="方正楷体_GBK"/>
        </w:rPr>
        <w:t>3</w:t>
      </w:r>
      <w:r>
        <w:rPr>
          <w:rFonts w:eastAsia="方正楷体_GBK"/>
        </w:rPr>
        <w:t>：支持将符合条件的新能源项目温室气体核证减排量纳入全国碳排放权交易市场进行配额清缴抵销。</w:t>
      </w:r>
    </w:p>
    <w:p w:rsidR="005011A4" w:rsidRDefault="005226AA">
      <w:r>
        <w:t>为从国家层面将碳减排责任落实到企业，</w:t>
      </w:r>
      <w:r>
        <w:rPr>
          <w:rFonts w:hint="eastAsia"/>
        </w:rPr>
        <w:t>结合</w:t>
      </w:r>
      <w:r>
        <w:t>地方试点市场运行经验，</w:t>
      </w:r>
      <w:r>
        <w:rPr>
          <w:rFonts w:hint="eastAsia"/>
        </w:rPr>
        <w:t>我国</w:t>
      </w:r>
      <w:r>
        <w:t>建立了</w:t>
      </w:r>
      <w:r>
        <w:rPr>
          <w:rFonts w:ascii="方正仿宋_GBK" w:hAnsi="方正仿宋_GBK" w:hint="eastAsia"/>
        </w:rPr>
        <w:t>“</w:t>
      </w:r>
      <w:r>
        <w:t>以碳排放配额交易为主</w:t>
      </w:r>
      <w:r>
        <w:t>+</w:t>
      </w:r>
      <w:r>
        <w:t>中国核证自愿减排量（</w:t>
      </w:r>
      <w:r>
        <w:t>CCER</w:t>
      </w:r>
      <w:r>
        <w:t>）交易为辅</w:t>
      </w:r>
      <w:r>
        <w:rPr>
          <w:rFonts w:ascii="方正仿宋_GBK" w:hAnsi="方正仿宋_GBK" w:hint="eastAsia"/>
        </w:rPr>
        <w:t>”</w:t>
      </w:r>
      <w:r>
        <w:t>的全国碳排放权交易市场，旨在通过市场倒逼高排放、高耗能产业的技术升级。</w:t>
      </w:r>
      <w:r>
        <w:t>CCER</w:t>
      </w:r>
      <w:r>
        <w:t>是指对我国境内可再生能</w:t>
      </w:r>
      <w:r>
        <w:lastRenderedPageBreak/>
        <w:t>源、林业碳汇、甲烷利用等项</w:t>
      </w:r>
      <w:r>
        <w:t>目的温室气体减排效果进行量化及核证，并在国家温室气体自愿减排交易注册登记系统中登记的温室气体减排量。截至</w:t>
      </w:r>
      <w:r>
        <w:t>2021</w:t>
      </w:r>
      <w:r>
        <w:t>年</w:t>
      </w:r>
      <w:r>
        <w:t>4</w:t>
      </w:r>
      <w:r>
        <w:t>月，国家发展改革委公示</w:t>
      </w:r>
      <w:r>
        <w:t>CCER</w:t>
      </w:r>
      <w:r>
        <w:t>审定项目累计达到</w:t>
      </w:r>
      <w:r>
        <w:t>2871</w:t>
      </w:r>
      <w:r>
        <w:t>个，备案项目</w:t>
      </w:r>
      <w:r>
        <w:t>1047</w:t>
      </w:r>
      <w:r>
        <w:t>个，获得减排量备案项目</w:t>
      </w:r>
      <w:r>
        <w:t>287</w:t>
      </w:r>
      <w:r>
        <w:t>个</w:t>
      </w:r>
      <w:r>
        <w:rPr>
          <w:rFonts w:hint="eastAsia"/>
        </w:rPr>
        <w:t>。</w:t>
      </w:r>
      <w:r>
        <w:t>从项目类型看，风电、光伏、水电等项目占比较大。</w:t>
      </w:r>
    </w:p>
    <w:p w:rsidR="005011A4" w:rsidRDefault="005226AA">
      <w:r>
        <w:rPr>
          <w:rFonts w:hint="eastAsia"/>
        </w:rPr>
        <w:t>自</w:t>
      </w:r>
      <w:r>
        <w:t>2021</w:t>
      </w:r>
      <w:r>
        <w:t>年</w:t>
      </w:r>
      <w:r>
        <w:t>7</w:t>
      </w:r>
      <w:r>
        <w:t>月</w:t>
      </w:r>
      <w:r>
        <w:t>16</w:t>
      </w:r>
      <w:r>
        <w:t>日启动以来，全国碳排放权交易市场已经顺利完成第一个履约周期，履约完成率高达</w:t>
      </w:r>
      <w:r>
        <w:t>99.5%</w:t>
      </w:r>
      <w:r>
        <w:t>，为控制企业减排成本、实现碳减排提供了有效途径。但目前主要交易产品为碳排放配额，而作为有效补充的</w:t>
      </w:r>
      <w:r>
        <w:t>CCER</w:t>
      </w:r>
      <w:r>
        <w:t>自</w:t>
      </w:r>
      <w:r>
        <w:t>2017</w:t>
      </w:r>
      <w:r>
        <w:t>年暂停项目备案申请后仅有</w:t>
      </w:r>
      <w:r>
        <w:t>部分存量参与市场交易（包括部分存量新能源项目</w:t>
      </w:r>
      <w:r>
        <w:t>CCER</w:t>
      </w:r>
      <w:r>
        <w:t>），新</w:t>
      </w:r>
      <w:r>
        <w:rPr>
          <w:rFonts w:hint="eastAsia"/>
        </w:rPr>
        <w:t>项目</w:t>
      </w:r>
      <w:r>
        <w:t>由于审批停滞而未得到补充。随着行业配额的逐步收紧，对</w:t>
      </w:r>
      <w:r>
        <w:t>CCER</w:t>
      </w:r>
      <w:r>
        <w:t>的需求量也将逐渐提升。</w:t>
      </w:r>
    </w:p>
    <w:p w:rsidR="005011A4" w:rsidRDefault="005226AA">
      <w:r>
        <w:t>相关部门在积极推动</w:t>
      </w:r>
      <w:r>
        <w:t>CCER</w:t>
      </w:r>
      <w:r>
        <w:t>纳入碳市场交易进行配额清缴</w:t>
      </w:r>
      <w:r>
        <w:rPr>
          <w:rFonts w:hint="eastAsia"/>
        </w:rPr>
        <w:t>抵销</w:t>
      </w:r>
      <w:r>
        <w:t>。</w:t>
      </w:r>
      <w:r>
        <w:t>2021</w:t>
      </w:r>
      <w:r>
        <w:t>年</w:t>
      </w:r>
      <w:r>
        <w:t>1</w:t>
      </w:r>
      <w:r>
        <w:t>月生态环境部发布《全国碳排放权交易管理办法（试行）》，重点排放单位每年可以使用国家核证自愿减排量抵销碳排放配额的清缴，抵销比例不得超过应清缴碳排放配额的</w:t>
      </w:r>
      <w:r>
        <w:t>5%</w:t>
      </w:r>
      <w:r>
        <w:t>。</w:t>
      </w:r>
      <w:r>
        <w:t>2021</w:t>
      </w:r>
      <w:r>
        <w:t>年</w:t>
      </w:r>
      <w:r>
        <w:t>10</w:t>
      </w:r>
      <w:r>
        <w:t>月生态环境部发布《关于做好全国碳排放权交易市场第一个履约周期碳排放配额清缴工作的通知》，组织有意愿使用</w:t>
      </w:r>
      <w:r>
        <w:t>CCER</w:t>
      </w:r>
      <w:r>
        <w:rPr>
          <w:rFonts w:hint="eastAsia"/>
        </w:rPr>
        <w:t>抵销</w:t>
      </w:r>
      <w:r>
        <w:t>碳排放配额</w:t>
      </w:r>
      <w:r>
        <w:t>清缴的重点排放单位抓紧开立国家自愿减排注册登记系统一般持有账户，并在经备案的温室气体自愿减排交易机构开立交易系统账户，尽快完成</w:t>
      </w:r>
      <w:r>
        <w:t>CCER</w:t>
      </w:r>
      <w:r>
        <w:t>购买并申请</w:t>
      </w:r>
      <w:r>
        <w:t>CCER</w:t>
      </w:r>
      <w:r>
        <w:t>注销。下一步，待</w:t>
      </w:r>
      <w:r>
        <w:t>CCER</w:t>
      </w:r>
      <w:r>
        <w:t>新项目的备案与签发重启后，符合条件的新能源项目</w:t>
      </w:r>
      <w:r>
        <w:rPr>
          <w:rFonts w:hint="eastAsia"/>
        </w:rPr>
        <w:t>将可纳入</w:t>
      </w:r>
      <w:r>
        <w:t>，</w:t>
      </w:r>
      <w:r>
        <w:rPr>
          <w:rFonts w:hint="eastAsia"/>
        </w:rPr>
        <w:t>我</w:t>
      </w:r>
      <w:r>
        <w:rPr>
          <w:rFonts w:hint="eastAsia"/>
        </w:rPr>
        <w:lastRenderedPageBreak/>
        <w:t>们也将持续推动</w:t>
      </w:r>
      <w:r>
        <w:t>新能源项目在碳市场和绿电绿证市场的机制衔接。</w:t>
      </w: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5011A4">
        <w:trPr>
          <w:trHeight w:val="520"/>
          <w:jc w:val="center"/>
        </w:trPr>
        <w:tc>
          <w:tcPr>
            <w:tcW w:w="8744" w:type="dxa"/>
          </w:tcPr>
          <w:p w:rsidR="005011A4" w:rsidRDefault="005226AA">
            <w:pPr>
              <w:pStyle w:val="af4"/>
              <w:ind w:firstLineChars="0" w:firstLine="0"/>
              <w:rPr>
                <w:sz w:val="30"/>
                <w:szCs w:val="30"/>
              </w:rPr>
            </w:pPr>
            <w:r>
              <w:rPr>
                <w:sz w:val="30"/>
                <w:szCs w:val="30"/>
              </w:rPr>
              <w:t>案例</w:t>
            </w:r>
            <w:r>
              <w:rPr>
                <w:sz w:val="30"/>
                <w:szCs w:val="30"/>
              </w:rPr>
              <w:t>7-</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10</w:t>
            </w:r>
            <w:r>
              <w:rPr>
                <w:sz w:val="30"/>
                <w:szCs w:val="30"/>
              </w:rPr>
              <w:fldChar w:fldCharType="end"/>
            </w:r>
            <w:r>
              <w:rPr>
                <w:sz w:val="30"/>
                <w:szCs w:val="30"/>
              </w:rPr>
              <w:t>我国存量</w:t>
            </w:r>
            <w:r>
              <w:rPr>
                <w:sz w:val="30"/>
                <w:szCs w:val="30"/>
              </w:rPr>
              <w:t>CCER</w:t>
            </w:r>
            <w:r>
              <w:rPr>
                <w:sz w:val="30"/>
                <w:szCs w:val="30"/>
              </w:rPr>
              <w:t>发放和</w:t>
            </w:r>
            <w:r>
              <w:rPr>
                <w:rFonts w:hint="eastAsia"/>
                <w:sz w:val="30"/>
                <w:szCs w:val="30"/>
              </w:rPr>
              <w:t>抵销</w:t>
            </w:r>
            <w:r>
              <w:rPr>
                <w:sz w:val="30"/>
                <w:szCs w:val="30"/>
              </w:rPr>
              <w:t>情况</w:t>
            </w:r>
          </w:p>
        </w:tc>
      </w:tr>
      <w:tr w:rsidR="005011A4">
        <w:trPr>
          <w:jc w:val="center"/>
        </w:trPr>
        <w:tc>
          <w:tcPr>
            <w:tcW w:w="8744" w:type="dxa"/>
          </w:tcPr>
          <w:p w:rsidR="005011A4" w:rsidRDefault="005226AA">
            <w:pPr>
              <w:spacing w:line="520" w:lineRule="exact"/>
              <w:ind w:firstLine="560"/>
              <w:textAlignment w:val="auto"/>
              <w:rPr>
                <w:color w:val="000000"/>
                <w:sz w:val="28"/>
                <w:szCs w:val="28"/>
              </w:rPr>
            </w:pPr>
            <w:r>
              <w:rPr>
                <w:color w:val="000000"/>
                <w:sz w:val="28"/>
                <w:szCs w:val="28"/>
              </w:rPr>
              <w:t>据中国自愿减排交易信息平台数据显示，从</w:t>
            </w:r>
            <w:r>
              <w:rPr>
                <w:color w:val="000000"/>
                <w:sz w:val="28"/>
                <w:szCs w:val="28"/>
              </w:rPr>
              <w:t>2012</w:t>
            </w:r>
            <w:r>
              <w:rPr>
                <w:color w:val="000000"/>
                <w:sz w:val="28"/>
                <w:szCs w:val="28"/>
              </w:rPr>
              <w:t>年</w:t>
            </w:r>
            <w:r>
              <w:rPr>
                <w:color w:val="000000"/>
                <w:sz w:val="28"/>
                <w:szCs w:val="28"/>
              </w:rPr>
              <w:t>CCER</w:t>
            </w:r>
            <w:r>
              <w:rPr>
                <w:color w:val="000000"/>
                <w:sz w:val="28"/>
                <w:szCs w:val="28"/>
              </w:rPr>
              <w:t>交易开启，至</w:t>
            </w:r>
            <w:r>
              <w:rPr>
                <w:color w:val="000000"/>
                <w:sz w:val="28"/>
                <w:szCs w:val="28"/>
              </w:rPr>
              <w:t>2017</w:t>
            </w:r>
            <w:r>
              <w:rPr>
                <w:color w:val="000000"/>
                <w:sz w:val="28"/>
                <w:szCs w:val="28"/>
              </w:rPr>
              <w:t>年暂停新项目受理，我国</w:t>
            </w:r>
            <w:r>
              <w:rPr>
                <w:color w:val="000000"/>
                <w:sz w:val="28"/>
                <w:szCs w:val="28"/>
              </w:rPr>
              <w:t>CCER</w:t>
            </w:r>
            <w:r>
              <w:rPr>
                <w:color w:val="000000"/>
                <w:sz w:val="28"/>
                <w:szCs w:val="28"/>
              </w:rPr>
              <w:t>公示项目共有</w:t>
            </w:r>
            <w:r>
              <w:rPr>
                <w:color w:val="000000"/>
                <w:sz w:val="28"/>
                <w:szCs w:val="28"/>
              </w:rPr>
              <w:t>2871</w:t>
            </w:r>
            <w:r>
              <w:rPr>
                <w:color w:val="000000"/>
                <w:sz w:val="28"/>
                <w:szCs w:val="28"/>
              </w:rPr>
              <w:t>个，</w:t>
            </w:r>
            <w:r>
              <w:rPr>
                <w:rFonts w:hint="eastAsia"/>
                <w:color w:val="000000"/>
                <w:sz w:val="28"/>
                <w:szCs w:val="28"/>
              </w:rPr>
              <w:t>其</w:t>
            </w:r>
            <w:r>
              <w:rPr>
                <w:color w:val="000000"/>
                <w:sz w:val="28"/>
                <w:szCs w:val="28"/>
              </w:rPr>
              <w:t>中，风电、光伏和甲烷</w:t>
            </w:r>
            <w:r>
              <w:rPr>
                <w:rFonts w:hint="eastAsia"/>
                <w:color w:val="000000"/>
                <w:sz w:val="28"/>
                <w:szCs w:val="28"/>
              </w:rPr>
              <w:t>利用</w:t>
            </w:r>
            <w:r>
              <w:rPr>
                <w:color w:val="000000"/>
                <w:sz w:val="28"/>
                <w:szCs w:val="28"/>
              </w:rPr>
              <w:t>项目最多，占比分别为</w:t>
            </w:r>
            <w:r>
              <w:rPr>
                <w:color w:val="000000"/>
                <w:sz w:val="28"/>
                <w:szCs w:val="28"/>
              </w:rPr>
              <w:t>33.0%</w:t>
            </w:r>
            <w:r>
              <w:rPr>
                <w:color w:val="000000"/>
                <w:sz w:val="28"/>
                <w:szCs w:val="28"/>
              </w:rPr>
              <w:t>、</w:t>
            </w:r>
            <w:r>
              <w:rPr>
                <w:color w:val="000000"/>
                <w:sz w:val="28"/>
                <w:szCs w:val="28"/>
              </w:rPr>
              <w:t>29.0%</w:t>
            </w:r>
            <w:r>
              <w:rPr>
                <w:color w:val="000000"/>
                <w:sz w:val="28"/>
                <w:szCs w:val="28"/>
              </w:rPr>
              <w:t>和</w:t>
            </w:r>
            <w:r>
              <w:rPr>
                <w:color w:val="000000"/>
                <w:sz w:val="28"/>
                <w:szCs w:val="28"/>
              </w:rPr>
              <w:t>14.1%</w:t>
            </w:r>
            <w:r>
              <w:rPr>
                <w:color w:val="000000"/>
                <w:sz w:val="28"/>
                <w:szCs w:val="28"/>
              </w:rPr>
              <w:t>。同</w:t>
            </w:r>
            <w:r>
              <w:rPr>
                <w:rFonts w:hint="eastAsia"/>
                <w:color w:val="000000"/>
                <w:sz w:val="28"/>
                <w:szCs w:val="28"/>
              </w:rPr>
              <w:t>时，</w:t>
            </w:r>
            <w:r>
              <w:rPr>
                <w:color w:val="000000"/>
                <w:sz w:val="28"/>
                <w:szCs w:val="28"/>
              </w:rPr>
              <w:t>中国</w:t>
            </w:r>
            <w:r>
              <w:rPr>
                <w:rFonts w:hint="eastAsia"/>
                <w:color w:val="000000"/>
                <w:sz w:val="28"/>
                <w:szCs w:val="28"/>
              </w:rPr>
              <w:t>于</w:t>
            </w:r>
            <w:r>
              <w:rPr>
                <w:color w:val="000000"/>
                <w:sz w:val="28"/>
                <w:szCs w:val="28"/>
              </w:rPr>
              <w:t>2013</w:t>
            </w:r>
            <w:r>
              <w:rPr>
                <w:color w:val="000000"/>
                <w:sz w:val="28"/>
                <w:szCs w:val="28"/>
              </w:rPr>
              <w:t>年启动了</w:t>
            </w:r>
            <w:r>
              <w:rPr>
                <w:color w:val="000000"/>
                <w:sz w:val="28"/>
                <w:szCs w:val="28"/>
              </w:rPr>
              <w:t>7</w:t>
            </w:r>
            <w:r>
              <w:rPr>
                <w:color w:val="000000"/>
                <w:sz w:val="28"/>
                <w:szCs w:val="28"/>
              </w:rPr>
              <w:t>个区域性碳排放权交易市场试点，允许</w:t>
            </w:r>
            <w:r>
              <w:rPr>
                <w:color w:val="000000"/>
                <w:sz w:val="28"/>
                <w:szCs w:val="28"/>
              </w:rPr>
              <w:t>CCER</w:t>
            </w:r>
            <w:r>
              <w:rPr>
                <w:rFonts w:hint="eastAsia"/>
                <w:color w:val="000000"/>
                <w:sz w:val="28"/>
                <w:szCs w:val="28"/>
              </w:rPr>
              <w:t>抵销</w:t>
            </w:r>
            <w:r>
              <w:rPr>
                <w:color w:val="000000"/>
                <w:sz w:val="28"/>
                <w:szCs w:val="28"/>
              </w:rPr>
              <w:t>部分排放配额，并对</w:t>
            </w:r>
            <w:r>
              <w:rPr>
                <w:color w:val="000000"/>
                <w:sz w:val="28"/>
                <w:szCs w:val="28"/>
              </w:rPr>
              <w:t>CCER</w:t>
            </w:r>
            <w:r>
              <w:rPr>
                <w:color w:val="000000"/>
                <w:sz w:val="28"/>
                <w:szCs w:val="28"/>
              </w:rPr>
              <w:t>准入进行了一定限制。包括在准入比例上，各地准入比例在</w:t>
            </w:r>
            <w:r>
              <w:rPr>
                <w:color w:val="000000"/>
                <w:sz w:val="28"/>
                <w:szCs w:val="28"/>
              </w:rPr>
              <w:t>5%—10%</w:t>
            </w:r>
            <w:r>
              <w:rPr>
                <w:color w:val="000000"/>
                <w:sz w:val="28"/>
                <w:szCs w:val="28"/>
              </w:rPr>
              <w:t>之间，在准入类型上，除上海和湖北（只允许小水电），其余五地均排除部分水电项目。</w:t>
            </w:r>
            <w:r>
              <w:rPr>
                <w:color w:val="000000"/>
                <w:sz w:val="28"/>
                <w:szCs w:val="28"/>
              </w:rPr>
              <w:t>2015</w:t>
            </w:r>
            <w:r>
              <w:rPr>
                <w:color w:val="000000"/>
                <w:sz w:val="28"/>
                <w:szCs w:val="28"/>
              </w:rPr>
              <w:t>年</w:t>
            </w:r>
            <w:r>
              <w:rPr>
                <w:color w:val="000000"/>
                <w:sz w:val="28"/>
                <w:szCs w:val="28"/>
              </w:rPr>
              <w:t>3</w:t>
            </w:r>
            <w:r>
              <w:rPr>
                <w:color w:val="000000"/>
                <w:sz w:val="28"/>
                <w:szCs w:val="28"/>
              </w:rPr>
              <w:t>月，国内首单</w:t>
            </w:r>
            <w:r>
              <w:rPr>
                <w:color w:val="000000"/>
                <w:sz w:val="28"/>
                <w:szCs w:val="28"/>
              </w:rPr>
              <w:t>CCER</w:t>
            </w:r>
            <w:r>
              <w:rPr>
                <w:color w:val="000000"/>
                <w:sz w:val="28"/>
                <w:szCs w:val="28"/>
              </w:rPr>
              <w:t>线上交易完成，由上海宝碳</w:t>
            </w:r>
            <w:r>
              <w:rPr>
                <w:color w:val="000000"/>
                <w:sz w:val="28"/>
                <w:szCs w:val="28"/>
              </w:rPr>
              <w:t>新能源环保科技有限公司向项目业主龙源电力股份集团有限公司所属甘肃新安风力发电有限公司分</w:t>
            </w:r>
            <w:r>
              <w:rPr>
                <w:color w:val="000000"/>
                <w:sz w:val="28"/>
                <w:szCs w:val="28"/>
              </w:rPr>
              <w:t>2</w:t>
            </w:r>
            <w:r>
              <w:rPr>
                <w:color w:val="000000"/>
                <w:sz w:val="28"/>
                <w:szCs w:val="28"/>
              </w:rPr>
              <w:t>次购买</w:t>
            </w:r>
            <w:r>
              <w:rPr>
                <w:color w:val="000000"/>
                <w:sz w:val="28"/>
                <w:szCs w:val="28"/>
              </w:rPr>
              <w:t>CCER</w:t>
            </w:r>
            <w:r>
              <w:rPr>
                <w:color w:val="000000"/>
                <w:sz w:val="28"/>
                <w:szCs w:val="28"/>
              </w:rPr>
              <w:t>共</w:t>
            </w:r>
            <w:r>
              <w:rPr>
                <w:color w:val="000000"/>
                <w:sz w:val="28"/>
                <w:szCs w:val="28"/>
              </w:rPr>
              <w:t>20</w:t>
            </w:r>
            <w:r>
              <w:rPr>
                <w:color w:val="000000"/>
                <w:sz w:val="28"/>
                <w:szCs w:val="28"/>
              </w:rPr>
              <w:t>万吨，成交价为</w:t>
            </w:r>
            <w:r>
              <w:rPr>
                <w:color w:val="000000"/>
                <w:sz w:val="28"/>
                <w:szCs w:val="28"/>
              </w:rPr>
              <w:t>19</w:t>
            </w:r>
            <w:r>
              <w:rPr>
                <w:color w:val="000000"/>
                <w:sz w:val="28"/>
                <w:szCs w:val="28"/>
              </w:rPr>
              <w:t>元</w:t>
            </w:r>
            <w:r>
              <w:rPr>
                <w:color w:val="000000"/>
                <w:sz w:val="28"/>
                <w:szCs w:val="28"/>
              </w:rPr>
              <w:t>/</w:t>
            </w:r>
            <w:r>
              <w:rPr>
                <w:color w:val="000000"/>
                <w:sz w:val="28"/>
                <w:szCs w:val="28"/>
              </w:rPr>
              <w:t>吨。</w:t>
            </w:r>
          </w:p>
          <w:p w:rsidR="005011A4" w:rsidRDefault="005226AA">
            <w:pPr>
              <w:spacing w:line="520" w:lineRule="exact"/>
              <w:ind w:firstLine="560"/>
              <w:textAlignment w:val="auto"/>
              <w:rPr>
                <w:rFonts w:eastAsia="仿宋_GB2312"/>
                <w:color w:val="000000"/>
                <w:sz w:val="28"/>
                <w:szCs w:val="28"/>
              </w:rPr>
            </w:pPr>
            <w:r>
              <w:rPr>
                <w:color w:val="000000"/>
                <w:sz w:val="28"/>
                <w:szCs w:val="28"/>
              </w:rPr>
              <w:t>据路孚特碳研究模型测算数据，上述已签发的</w:t>
            </w:r>
            <w:r>
              <w:rPr>
                <w:color w:val="000000"/>
                <w:sz w:val="28"/>
                <w:szCs w:val="28"/>
              </w:rPr>
              <w:t>CCER</w:t>
            </w:r>
            <w:r>
              <w:rPr>
                <w:color w:val="000000"/>
                <w:sz w:val="28"/>
                <w:szCs w:val="28"/>
              </w:rPr>
              <w:t>项目约相当于</w:t>
            </w:r>
            <w:r>
              <w:rPr>
                <w:color w:val="000000"/>
                <w:sz w:val="28"/>
                <w:szCs w:val="28"/>
              </w:rPr>
              <w:t>8000</w:t>
            </w:r>
            <w:r>
              <w:rPr>
                <w:color w:val="000000"/>
                <w:sz w:val="28"/>
                <w:szCs w:val="28"/>
              </w:rPr>
              <w:t>万吨二氧化碳当量，</w:t>
            </w:r>
            <w:r>
              <w:rPr>
                <w:color w:val="000000"/>
                <w:sz w:val="28"/>
                <w:szCs w:val="28"/>
              </w:rPr>
              <w:t>2012-2017</w:t>
            </w:r>
            <w:r>
              <w:rPr>
                <w:color w:val="000000"/>
                <w:sz w:val="28"/>
                <w:szCs w:val="28"/>
              </w:rPr>
              <w:t>年</w:t>
            </w:r>
            <w:r>
              <w:rPr>
                <w:rFonts w:hint="eastAsia"/>
                <w:color w:val="000000"/>
                <w:sz w:val="28"/>
                <w:szCs w:val="28"/>
              </w:rPr>
              <w:t>，</w:t>
            </w:r>
            <w:r>
              <w:rPr>
                <w:color w:val="000000"/>
                <w:sz w:val="28"/>
                <w:szCs w:val="28"/>
              </w:rPr>
              <w:t>通过试点碳交易市场约使用</w:t>
            </w:r>
            <w:r>
              <w:rPr>
                <w:color w:val="000000"/>
                <w:sz w:val="28"/>
                <w:szCs w:val="28"/>
              </w:rPr>
              <w:t>3200</w:t>
            </w:r>
            <w:r>
              <w:rPr>
                <w:color w:val="000000"/>
                <w:sz w:val="28"/>
                <w:szCs w:val="28"/>
              </w:rPr>
              <w:t>万吨。</w:t>
            </w:r>
            <w:r>
              <w:rPr>
                <w:color w:val="000000"/>
                <w:sz w:val="28"/>
                <w:szCs w:val="28"/>
              </w:rPr>
              <w:t>2021</w:t>
            </w:r>
            <w:r>
              <w:rPr>
                <w:color w:val="000000"/>
                <w:sz w:val="28"/>
                <w:szCs w:val="28"/>
              </w:rPr>
              <w:t>年全国碳市场履约，按规则存量</w:t>
            </w:r>
            <w:r>
              <w:rPr>
                <w:color w:val="000000"/>
                <w:sz w:val="28"/>
                <w:szCs w:val="28"/>
              </w:rPr>
              <w:t>CCER</w:t>
            </w:r>
            <w:r>
              <w:rPr>
                <w:color w:val="000000"/>
                <w:sz w:val="28"/>
                <w:szCs w:val="28"/>
              </w:rPr>
              <w:t>可用于抵销最高</w:t>
            </w:r>
            <w:r>
              <w:rPr>
                <w:color w:val="000000"/>
                <w:sz w:val="28"/>
                <w:szCs w:val="28"/>
              </w:rPr>
              <w:t>5%</w:t>
            </w:r>
            <w:r>
              <w:rPr>
                <w:color w:val="000000"/>
                <w:sz w:val="28"/>
                <w:szCs w:val="28"/>
              </w:rPr>
              <w:t>的应清缴配额，首个履约周期的控排企业核销，使用了</w:t>
            </w:r>
            <w:r>
              <w:rPr>
                <w:color w:val="000000"/>
                <w:sz w:val="28"/>
                <w:szCs w:val="28"/>
              </w:rPr>
              <w:t>3300</w:t>
            </w:r>
            <w:r>
              <w:rPr>
                <w:color w:val="000000"/>
                <w:sz w:val="28"/>
                <w:szCs w:val="28"/>
              </w:rPr>
              <w:t>万吨存量</w:t>
            </w:r>
            <w:r>
              <w:rPr>
                <w:color w:val="000000"/>
                <w:sz w:val="28"/>
                <w:szCs w:val="28"/>
              </w:rPr>
              <w:t>CCER</w:t>
            </w:r>
            <w:r>
              <w:rPr>
                <w:color w:val="000000"/>
                <w:sz w:val="28"/>
                <w:szCs w:val="28"/>
              </w:rPr>
              <w:t>，超过了</w:t>
            </w:r>
            <w:r>
              <w:rPr>
                <w:color w:val="000000"/>
                <w:sz w:val="28"/>
                <w:szCs w:val="28"/>
              </w:rPr>
              <w:t>2012-2017</w:t>
            </w:r>
            <w:r>
              <w:rPr>
                <w:color w:val="000000"/>
                <w:sz w:val="28"/>
                <w:szCs w:val="28"/>
              </w:rPr>
              <w:t>年的总和。按照该模型的估算，存量</w:t>
            </w:r>
            <w:r>
              <w:rPr>
                <w:color w:val="000000"/>
                <w:sz w:val="28"/>
                <w:szCs w:val="28"/>
              </w:rPr>
              <w:t>CCER</w:t>
            </w:r>
            <w:r>
              <w:rPr>
                <w:color w:val="000000"/>
                <w:sz w:val="28"/>
                <w:szCs w:val="28"/>
              </w:rPr>
              <w:t>大多数已经在市场实现</w:t>
            </w:r>
            <w:r>
              <w:rPr>
                <w:rFonts w:hint="eastAsia"/>
                <w:color w:val="000000"/>
                <w:sz w:val="28"/>
                <w:szCs w:val="28"/>
              </w:rPr>
              <w:t>抵销</w:t>
            </w:r>
            <w:r>
              <w:rPr>
                <w:color w:val="000000"/>
                <w:sz w:val="28"/>
                <w:szCs w:val="28"/>
              </w:rPr>
              <w:t>。</w:t>
            </w:r>
          </w:p>
        </w:tc>
      </w:tr>
    </w:tbl>
    <w:p w:rsidR="005011A4" w:rsidRDefault="005011A4"/>
    <w:p w:rsidR="005011A4" w:rsidRDefault="005011A4"/>
    <w:sectPr w:rsidR="005011A4">
      <w:headerReference w:type="even" r:id="rId12"/>
      <w:headerReference w:type="default" r:id="rId13"/>
      <w:footerReference w:type="even" r:id="rId14"/>
      <w:footerReference w:type="default" r:id="rId15"/>
      <w:headerReference w:type="first" r:id="rId16"/>
      <w:footerReference w:type="first" r:id="rId17"/>
      <w:pgSz w:w="11907" w:h="16839"/>
      <w:pgMar w:top="1985" w:right="1616" w:bottom="1814" w:left="1616" w:header="851" w:footer="907" w:gutter="0"/>
      <w:pgNumType w:start="1"/>
      <w:cols w:space="720"/>
      <w:docGrid w:type="lines"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26AA" w:rsidRDefault="005226AA">
      <w:pPr>
        <w:spacing w:line="240" w:lineRule="auto"/>
      </w:pPr>
      <w:r>
        <w:separator/>
      </w:r>
    </w:p>
  </w:endnote>
  <w:endnote w:type="continuationSeparator" w:id="0">
    <w:p w:rsidR="005226AA" w:rsidRDefault="005226A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 w:name="仿宋_GB2312">
    <w:altName w:val="方正仿宋_GBK"/>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1"/>
    <w:family w:val="modern"/>
    <w:pitch w:val="default"/>
    <w:sig w:usb0="E0002AFF" w:usb1="C0007843" w:usb2="00000009" w:usb3="00000000" w:csb0="400001FF" w:csb1="FFFF0000"/>
  </w:font>
  <w:font w:name="Calibri">
    <w:altName w:val="DejaVu Sans"/>
    <w:panose1 w:val="020F0502020204030204"/>
    <w:charset w:val="00"/>
    <w:family w:val="swiss"/>
    <w:pitch w:val="default"/>
    <w:sig w:usb0="00000000" w:usb1="00000000" w:usb2="00000001" w:usb3="00000000" w:csb0="0000019F" w:csb1="00000000"/>
  </w:font>
  <w:font w:name="FZKTK--GBK1-0">
    <w:altName w:val="文泉驿微米黑"/>
    <w:charset w:val="00"/>
    <w:family w:val="roman"/>
    <w:pitch w:val="default"/>
  </w:font>
  <w:font w:name="等线 Light">
    <w:panose1 w:val="02010600030101010101"/>
    <w:charset w:val="86"/>
    <w:family w:val="auto"/>
    <w:pitch w:val="variable"/>
    <w:sig w:usb0="A00002BF" w:usb1="38CF7CFA" w:usb2="00000016" w:usb3="00000000" w:csb0="0004000F"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方正楷体_GBK"/>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11A4" w:rsidRDefault="005226AA">
    <w:pPr>
      <w:pStyle w:val="af0"/>
      <w:tabs>
        <w:tab w:val="clear" w:pos="4153"/>
        <w:tab w:val="clear" w:pos="8306"/>
        <w:tab w:val="left" w:pos="1615"/>
      </w:tabs>
      <w:spacing w:line="240" w:lineRule="auto"/>
      <w:ind w:firstLine="480"/>
      <w:rPr>
        <w:rFonts w:eastAsiaTheme="minorEastAsia"/>
        <w:sz w:val="24"/>
        <w:szCs w:val="24"/>
      </w:rPr>
    </w:pPr>
    <w:r>
      <w:rPr>
        <w:rFonts w:eastAsiaTheme="minorEastAsia"/>
        <w:sz w:val="24"/>
        <w:szCs w:val="24"/>
      </w:rPr>
      <w:t xml:space="preserve">— </w:t>
    </w:r>
    <w:r>
      <w:rPr>
        <w:rFonts w:eastAsiaTheme="minorEastAsia"/>
        <w:sz w:val="24"/>
        <w:szCs w:val="24"/>
      </w:rPr>
      <w:fldChar w:fldCharType="begin"/>
    </w:r>
    <w:r>
      <w:rPr>
        <w:rFonts w:eastAsiaTheme="minorEastAsia"/>
        <w:sz w:val="24"/>
        <w:szCs w:val="24"/>
      </w:rPr>
      <w:instrText>PAGE   \* MERGEFORMAT</w:instrText>
    </w:r>
    <w:r>
      <w:rPr>
        <w:rFonts w:eastAsiaTheme="minorEastAsia"/>
        <w:sz w:val="24"/>
        <w:szCs w:val="24"/>
      </w:rPr>
      <w:fldChar w:fldCharType="separate"/>
    </w:r>
    <w:r w:rsidR="00931F3B" w:rsidRPr="00931F3B">
      <w:rPr>
        <w:rFonts w:eastAsiaTheme="minorEastAsia"/>
        <w:noProof/>
        <w:sz w:val="24"/>
        <w:szCs w:val="24"/>
        <w:lang w:val="zh-CN"/>
      </w:rPr>
      <w:t>30</w:t>
    </w:r>
    <w:r>
      <w:rPr>
        <w:rFonts w:eastAsiaTheme="minorEastAsia"/>
        <w:sz w:val="24"/>
        <w:szCs w:val="24"/>
      </w:rPr>
      <w:fldChar w:fldCharType="end"/>
    </w:r>
    <w:r>
      <w:rPr>
        <w:rFonts w:eastAsiaTheme="minorEastAsia"/>
        <w:sz w:val="24"/>
        <w:szCs w:val="24"/>
      </w:rPr>
      <w:t xml:space="preserve"> —</w:t>
    </w:r>
    <w:r>
      <w:rPr>
        <w:rFonts w:eastAsiaTheme="minorEastAsia"/>
        <w:sz w:val="24"/>
        <w:szCs w:val="24"/>
      </w:rPr>
      <w:tab/>
    </w:r>
  </w:p>
  <w:p w:rsidR="005011A4" w:rsidRDefault="005011A4">
    <w:pPr>
      <w:pStyle w:val="af0"/>
      <w:tabs>
        <w:tab w:val="clear" w:pos="4153"/>
        <w:tab w:val="clear" w:pos="8306"/>
        <w:tab w:val="left" w:pos="1615"/>
      </w:tabs>
      <w:spacing w:line="240" w:lineRule="auto"/>
      <w:ind w:firstLineChars="0" w:firstLine="0"/>
      <w:rPr>
        <w:rFonts w:eastAsiaTheme="minorEastAsia"/>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11A4" w:rsidRDefault="005226AA">
    <w:pPr>
      <w:pStyle w:val="af0"/>
      <w:ind w:firstLine="480"/>
      <w:jc w:val="right"/>
    </w:pPr>
    <w:r>
      <w:rPr>
        <w:rFonts w:eastAsiaTheme="minorEastAsia"/>
        <w:sz w:val="24"/>
        <w:szCs w:val="24"/>
      </w:rPr>
      <w:t xml:space="preserve">— </w:t>
    </w:r>
    <w:r>
      <w:rPr>
        <w:rFonts w:eastAsiaTheme="minorEastAsia"/>
        <w:sz w:val="24"/>
        <w:szCs w:val="24"/>
      </w:rPr>
      <w:fldChar w:fldCharType="begin"/>
    </w:r>
    <w:r>
      <w:rPr>
        <w:rFonts w:eastAsiaTheme="minorEastAsia"/>
        <w:sz w:val="24"/>
        <w:szCs w:val="24"/>
      </w:rPr>
      <w:instrText>PAGE   \* MERGEFORMAT</w:instrText>
    </w:r>
    <w:r>
      <w:rPr>
        <w:rFonts w:eastAsiaTheme="minorEastAsia"/>
        <w:sz w:val="24"/>
        <w:szCs w:val="24"/>
      </w:rPr>
      <w:fldChar w:fldCharType="separate"/>
    </w:r>
    <w:r w:rsidR="00931F3B" w:rsidRPr="00931F3B">
      <w:rPr>
        <w:rFonts w:eastAsiaTheme="minorEastAsia"/>
        <w:noProof/>
        <w:sz w:val="24"/>
        <w:szCs w:val="24"/>
        <w:lang w:val="zh-CN"/>
      </w:rPr>
      <w:t>29</w:t>
    </w:r>
    <w:r>
      <w:rPr>
        <w:rFonts w:eastAsiaTheme="minorEastAsia"/>
        <w:sz w:val="24"/>
        <w:szCs w:val="24"/>
      </w:rPr>
      <w:fldChar w:fldCharType="end"/>
    </w:r>
    <w:r>
      <w:rPr>
        <w:rFonts w:eastAsiaTheme="minorEastAsia"/>
        <w:sz w:val="24"/>
        <w:szCs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11A4" w:rsidRDefault="005011A4">
    <w:pPr>
      <w:pStyle w:val="af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26AA" w:rsidRDefault="005226AA">
      <w:pPr>
        <w:spacing w:line="240" w:lineRule="auto"/>
      </w:pPr>
      <w:r>
        <w:separator/>
      </w:r>
    </w:p>
  </w:footnote>
  <w:footnote w:type="continuationSeparator" w:id="0">
    <w:p w:rsidR="005226AA" w:rsidRDefault="005226A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11A4" w:rsidRDefault="005011A4">
    <w:pPr>
      <w:pStyle w:val="af2"/>
      <w:pBdr>
        <w:bottom w:val="none" w:sz="0" w:space="1"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11A4" w:rsidRDefault="005011A4">
    <w:pPr>
      <w:pStyle w:val="af2"/>
      <w:pBdr>
        <w:bottom w:val="none" w:sz="0" w:space="1" w:color="auto"/>
      </w:pBdr>
      <w:ind w:firstLineChars="0" w:firstLine="0"/>
      <w:jc w:val="both"/>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11A4" w:rsidRDefault="005011A4">
    <w:pPr>
      <w:pStyle w:val="af2"/>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trackRevisions/>
  <w:defaultTabStop w:val="420"/>
  <w:evenAndOddHeaders/>
  <w:drawingGridHorizontalSpacing w:val="150"/>
  <w:drawingGridVerticalSpacing w:val="204"/>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1E58"/>
    <w:rsid w:val="8FB64429"/>
    <w:rsid w:val="9F9FDD81"/>
    <w:rsid w:val="9FEB5464"/>
    <w:rsid w:val="9FEFA5B9"/>
    <w:rsid w:val="AEBF3149"/>
    <w:rsid w:val="B4DF5E32"/>
    <w:rsid w:val="B97D3E5E"/>
    <w:rsid w:val="BC7EBAEE"/>
    <w:rsid w:val="BEFF4AC5"/>
    <w:rsid w:val="BFEFE821"/>
    <w:rsid w:val="D3BD71A3"/>
    <w:rsid w:val="D6FBDDB5"/>
    <w:rsid w:val="DBDCDFC5"/>
    <w:rsid w:val="DE7FAFB5"/>
    <w:rsid w:val="DEF39057"/>
    <w:rsid w:val="DEFF6865"/>
    <w:rsid w:val="E953F300"/>
    <w:rsid w:val="EABB1DA2"/>
    <w:rsid w:val="EEB7ECE3"/>
    <w:rsid w:val="EECEF773"/>
    <w:rsid w:val="EEF3DE04"/>
    <w:rsid w:val="EFFF9B8F"/>
    <w:rsid w:val="F53FB925"/>
    <w:rsid w:val="F6FD0DFA"/>
    <w:rsid w:val="F7104E32"/>
    <w:rsid w:val="F76E9FD8"/>
    <w:rsid w:val="F7EFAC56"/>
    <w:rsid w:val="FBBD7949"/>
    <w:rsid w:val="FBDF2715"/>
    <w:rsid w:val="FBFE456D"/>
    <w:rsid w:val="FCFFB948"/>
    <w:rsid w:val="FDDD6F4B"/>
    <w:rsid w:val="FDF7AAFD"/>
    <w:rsid w:val="FDFBBDDC"/>
    <w:rsid w:val="FF7E0347"/>
    <w:rsid w:val="FF8F8DD5"/>
    <w:rsid w:val="FFBFDC1A"/>
    <w:rsid w:val="FFDC9907"/>
    <w:rsid w:val="FFDF0952"/>
    <w:rsid w:val="FFDF130B"/>
    <w:rsid w:val="FFFDC7CC"/>
    <w:rsid w:val="00000402"/>
    <w:rsid w:val="0000129B"/>
    <w:rsid w:val="00001EBE"/>
    <w:rsid w:val="00003AF9"/>
    <w:rsid w:val="000062DF"/>
    <w:rsid w:val="00010177"/>
    <w:rsid w:val="000124DC"/>
    <w:rsid w:val="00012AB2"/>
    <w:rsid w:val="0001392F"/>
    <w:rsid w:val="00014A83"/>
    <w:rsid w:val="00015B99"/>
    <w:rsid w:val="000168EE"/>
    <w:rsid w:val="00017149"/>
    <w:rsid w:val="000173ED"/>
    <w:rsid w:val="00017CDD"/>
    <w:rsid w:val="00017D20"/>
    <w:rsid w:val="00017ED0"/>
    <w:rsid w:val="00020489"/>
    <w:rsid w:val="000205D6"/>
    <w:rsid w:val="000213E3"/>
    <w:rsid w:val="000220E1"/>
    <w:rsid w:val="00022591"/>
    <w:rsid w:val="0002292D"/>
    <w:rsid w:val="00024454"/>
    <w:rsid w:val="000244CA"/>
    <w:rsid w:val="00024E4E"/>
    <w:rsid w:val="00027818"/>
    <w:rsid w:val="00030244"/>
    <w:rsid w:val="000306D0"/>
    <w:rsid w:val="0003334E"/>
    <w:rsid w:val="00034194"/>
    <w:rsid w:val="0003466A"/>
    <w:rsid w:val="00035A69"/>
    <w:rsid w:val="000422A7"/>
    <w:rsid w:val="000428B3"/>
    <w:rsid w:val="00042C0A"/>
    <w:rsid w:val="00042F92"/>
    <w:rsid w:val="0004418A"/>
    <w:rsid w:val="00045133"/>
    <w:rsid w:val="00045CF0"/>
    <w:rsid w:val="00045F3B"/>
    <w:rsid w:val="000473DD"/>
    <w:rsid w:val="00047DEF"/>
    <w:rsid w:val="00050039"/>
    <w:rsid w:val="000500CD"/>
    <w:rsid w:val="000508DF"/>
    <w:rsid w:val="0005199D"/>
    <w:rsid w:val="00052208"/>
    <w:rsid w:val="000529CA"/>
    <w:rsid w:val="00054BED"/>
    <w:rsid w:val="00055A27"/>
    <w:rsid w:val="00055B7B"/>
    <w:rsid w:val="00055D63"/>
    <w:rsid w:val="000568A3"/>
    <w:rsid w:val="00056AA9"/>
    <w:rsid w:val="00057480"/>
    <w:rsid w:val="00060A4D"/>
    <w:rsid w:val="000612B7"/>
    <w:rsid w:val="0006130A"/>
    <w:rsid w:val="0006250D"/>
    <w:rsid w:val="00062C8C"/>
    <w:rsid w:val="00064CFD"/>
    <w:rsid w:val="0006668D"/>
    <w:rsid w:val="00067877"/>
    <w:rsid w:val="00067958"/>
    <w:rsid w:val="00072BF3"/>
    <w:rsid w:val="000744F6"/>
    <w:rsid w:val="000744FC"/>
    <w:rsid w:val="0007628F"/>
    <w:rsid w:val="0008283D"/>
    <w:rsid w:val="00084A7D"/>
    <w:rsid w:val="00085092"/>
    <w:rsid w:val="000858C3"/>
    <w:rsid w:val="000859C7"/>
    <w:rsid w:val="00085E96"/>
    <w:rsid w:val="00086295"/>
    <w:rsid w:val="000862BE"/>
    <w:rsid w:val="00087CBC"/>
    <w:rsid w:val="00092EAA"/>
    <w:rsid w:val="000933E7"/>
    <w:rsid w:val="0009363F"/>
    <w:rsid w:val="000937E0"/>
    <w:rsid w:val="00094202"/>
    <w:rsid w:val="00094D17"/>
    <w:rsid w:val="00096001"/>
    <w:rsid w:val="00097867"/>
    <w:rsid w:val="000A310E"/>
    <w:rsid w:val="000A338E"/>
    <w:rsid w:val="000A59BC"/>
    <w:rsid w:val="000A773B"/>
    <w:rsid w:val="000A7C7E"/>
    <w:rsid w:val="000B063C"/>
    <w:rsid w:val="000B0ECD"/>
    <w:rsid w:val="000B1783"/>
    <w:rsid w:val="000B1945"/>
    <w:rsid w:val="000B4E8E"/>
    <w:rsid w:val="000B56C5"/>
    <w:rsid w:val="000B5F1E"/>
    <w:rsid w:val="000C069B"/>
    <w:rsid w:val="000C17D5"/>
    <w:rsid w:val="000C3395"/>
    <w:rsid w:val="000C3FE7"/>
    <w:rsid w:val="000C43B1"/>
    <w:rsid w:val="000C46A2"/>
    <w:rsid w:val="000C528F"/>
    <w:rsid w:val="000C539A"/>
    <w:rsid w:val="000C5E5E"/>
    <w:rsid w:val="000D16B5"/>
    <w:rsid w:val="000D3FFD"/>
    <w:rsid w:val="000D4226"/>
    <w:rsid w:val="000D5B62"/>
    <w:rsid w:val="000D728B"/>
    <w:rsid w:val="000D7731"/>
    <w:rsid w:val="000E1315"/>
    <w:rsid w:val="000E1A58"/>
    <w:rsid w:val="000E2957"/>
    <w:rsid w:val="000E3629"/>
    <w:rsid w:val="000E3AA1"/>
    <w:rsid w:val="000E4E9D"/>
    <w:rsid w:val="000E5163"/>
    <w:rsid w:val="000E6072"/>
    <w:rsid w:val="000E6D9D"/>
    <w:rsid w:val="000E790C"/>
    <w:rsid w:val="000E7972"/>
    <w:rsid w:val="000F10C3"/>
    <w:rsid w:val="000F1188"/>
    <w:rsid w:val="000F282D"/>
    <w:rsid w:val="000F31EB"/>
    <w:rsid w:val="000F32AB"/>
    <w:rsid w:val="000F32D2"/>
    <w:rsid w:val="000F5A26"/>
    <w:rsid w:val="000F64CC"/>
    <w:rsid w:val="000F6D3C"/>
    <w:rsid w:val="001029C2"/>
    <w:rsid w:val="00103796"/>
    <w:rsid w:val="00103924"/>
    <w:rsid w:val="00105873"/>
    <w:rsid w:val="00107186"/>
    <w:rsid w:val="00110BC9"/>
    <w:rsid w:val="00111D7A"/>
    <w:rsid w:val="00112496"/>
    <w:rsid w:val="00113C80"/>
    <w:rsid w:val="00116640"/>
    <w:rsid w:val="0011750B"/>
    <w:rsid w:val="00117782"/>
    <w:rsid w:val="00117953"/>
    <w:rsid w:val="00120A2E"/>
    <w:rsid w:val="00122D92"/>
    <w:rsid w:val="00122E35"/>
    <w:rsid w:val="00122F60"/>
    <w:rsid w:val="00123141"/>
    <w:rsid w:val="00123193"/>
    <w:rsid w:val="00124DA7"/>
    <w:rsid w:val="00125772"/>
    <w:rsid w:val="00125AAB"/>
    <w:rsid w:val="0012690C"/>
    <w:rsid w:val="0012756A"/>
    <w:rsid w:val="00130409"/>
    <w:rsid w:val="0013162E"/>
    <w:rsid w:val="00135209"/>
    <w:rsid w:val="00137CAF"/>
    <w:rsid w:val="00142251"/>
    <w:rsid w:val="00143CF3"/>
    <w:rsid w:val="00143D0A"/>
    <w:rsid w:val="001446E7"/>
    <w:rsid w:val="00144B0D"/>
    <w:rsid w:val="0014656E"/>
    <w:rsid w:val="00147889"/>
    <w:rsid w:val="00150C88"/>
    <w:rsid w:val="001510A8"/>
    <w:rsid w:val="001510DA"/>
    <w:rsid w:val="001512C8"/>
    <w:rsid w:val="00152751"/>
    <w:rsid w:val="00152905"/>
    <w:rsid w:val="00152D3E"/>
    <w:rsid w:val="00152E8F"/>
    <w:rsid w:val="00154BC6"/>
    <w:rsid w:val="00155313"/>
    <w:rsid w:val="00156BA3"/>
    <w:rsid w:val="00157252"/>
    <w:rsid w:val="00157FAD"/>
    <w:rsid w:val="0016052F"/>
    <w:rsid w:val="00160F9A"/>
    <w:rsid w:val="001618E9"/>
    <w:rsid w:val="001619D3"/>
    <w:rsid w:val="00161EA5"/>
    <w:rsid w:val="00162ABA"/>
    <w:rsid w:val="00166DE8"/>
    <w:rsid w:val="00170DF9"/>
    <w:rsid w:val="00171121"/>
    <w:rsid w:val="001719DE"/>
    <w:rsid w:val="00171DCD"/>
    <w:rsid w:val="00173481"/>
    <w:rsid w:val="00175168"/>
    <w:rsid w:val="0017537D"/>
    <w:rsid w:val="0017658E"/>
    <w:rsid w:val="00176F5C"/>
    <w:rsid w:val="001776F7"/>
    <w:rsid w:val="00181612"/>
    <w:rsid w:val="00182F93"/>
    <w:rsid w:val="00183043"/>
    <w:rsid w:val="00183D52"/>
    <w:rsid w:val="0018462E"/>
    <w:rsid w:val="00187CE0"/>
    <w:rsid w:val="00190E98"/>
    <w:rsid w:val="001955B9"/>
    <w:rsid w:val="001959FD"/>
    <w:rsid w:val="00196266"/>
    <w:rsid w:val="001A0255"/>
    <w:rsid w:val="001A0AC2"/>
    <w:rsid w:val="001A20CA"/>
    <w:rsid w:val="001A300E"/>
    <w:rsid w:val="001A4FD4"/>
    <w:rsid w:val="001A608E"/>
    <w:rsid w:val="001B0597"/>
    <w:rsid w:val="001B278E"/>
    <w:rsid w:val="001B6434"/>
    <w:rsid w:val="001C287F"/>
    <w:rsid w:val="001C3B53"/>
    <w:rsid w:val="001C4210"/>
    <w:rsid w:val="001C5F90"/>
    <w:rsid w:val="001C645F"/>
    <w:rsid w:val="001C72D5"/>
    <w:rsid w:val="001C78A2"/>
    <w:rsid w:val="001C7A3C"/>
    <w:rsid w:val="001C7D7A"/>
    <w:rsid w:val="001D3C3F"/>
    <w:rsid w:val="001D4CE2"/>
    <w:rsid w:val="001D50BE"/>
    <w:rsid w:val="001D7755"/>
    <w:rsid w:val="001D78E7"/>
    <w:rsid w:val="001E0EB9"/>
    <w:rsid w:val="001E1C25"/>
    <w:rsid w:val="001E1C3A"/>
    <w:rsid w:val="001E2D8C"/>
    <w:rsid w:val="001E3D51"/>
    <w:rsid w:val="001E6810"/>
    <w:rsid w:val="001E6E69"/>
    <w:rsid w:val="001E78DC"/>
    <w:rsid w:val="001F128B"/>
    <w:rsid w:val="001F1BF0"/>
    <w:rsid w:val="001F38D9"/>
    <w:rsid w:val="001F474E"/>
    <w:rsid w:val="001F49E3"/>
    <w:rsid w:val="001F4F0C"/>
    <w:rsid w:val="001F6C61"/>
    <w:rsid w:val="001F7238"/>
    <w:rsid w:val="001F7C2C"/>
    <w:rsid w:val="001F7ED0"/>
    <w:rsid w:val="002004FA"/>
    <w:rsid w:val="00202240"/>
    <w:rsid w:val="00203EB8"/>
    <w:rsid w:val="0020507E"/>
    <w:rsid w:val="002050C3"/>
    <w:rsid w:val="00210388"/>
    <w:rsid w:val="00213CB2"/>
    <w:rsid w:val="00215082"/>
    <w:rsid w:val="002154AC"/>
    <w:rsid w:val="002164FC"/>
    <w:rsid w:val="00216511"/>
    <w:rsid w:val="002215EE"/>
    <w:rsid w:val="0022199F"/>
    <w:rsid w:val="00224B2F"/>
    <w:rsid w:val="00224CAB"/>
    <w:rsid w:val="0022664B"/>
    <w:rsid w:val="002267F7"/>
    <w:rsid w:val="002321B9"/>
    <w:rsid w:val="0023233A"/>
    <w:rsid w:val="00232943"/>
    <w:rsid w:val="002346A7"/>
    <w:rsid w:val="0023588E"/>
    <w:rsid w:val="00236B78"/>
    <w:rsid w:val="00237421"/>
    <w:rsid w:val="00237929"/>
    <w:rsid w:val="00237DEA"/>
    <w:rsid w:val="002405AB"/>
    <w:rsid w:val="002442A0"/>
    <w:rsid w:val="00244B2C"/>
    <w:rsid w:val="0024568B"/>
    <w:rsid w:val="002461F5"/>
    <w:rsid w:val="00247FBD"/>
    <w:rsid w:val="00250B8E"/>
    <w:rsid w:val="00250BE4"/>
    <w:rsid w:val="00252251"/>
    <w:rsid w:val="00253149"/>
    <w:rsid w:val="002545B8"/>
    <w:rsid w:val="00255F6A"/>
    <w:rsid w:val="00257403"/>
    <w:rsid w:val="002638E7"/>
    <w:rsid w:val="00265D8C"/>
    <w:rsid w:val="00267879"/>
    <w:rsid w:val="00272CAA"/>
    <w:rsid w:val="002737E3"/>
    <w:rsid w:val="0027391A"/>
    <w:rsid w:val="00275085"/>
    <w:rsid w:val="002754CF"/>
    <w:rsid w:val="002778E1"/>
    <w:rsid w:val="00277FE2"/>
    <w:rsid w:val="00282B59"/>
    <w:rsid w:val="00283443"/>
    <w:rsid w:val="00283DDA"/>
    <w:rsid w:val="00284703"/>
    <w:rsid w:val="00284F49"/>
    <w:rsid w:val="00285303"/>
    <w:rsid w:val="002875E8"/>
    <w:rsid w:val="002900E5"/>
    <w:rsid w:val="00290E71"/>
    <w:rsid w:val="00291AD8"/>
    <w:rsid w:val="00291B5A"/>
    <w:rsid w:val="0029431A"/>
    <w:rsid w:val="00295E95"/>
    <w:rsid w:val="00296D77"/>
    <w:rsid w:val="0029729D"/>
    <w:rsid w:val="002976EF"/>
    <w:rsid w:val="00297F4A"/>
    <w:rsid w:val="002A0128"/>
    <w:rsid w:val="002A0666"/>
    <w:rsid w:val="002A1E1D"/>
    <w:rsid w:val="002A447A"/>
    <w:rsid w:val="002A4FEF"/>
    <w:rsid w:val="002A5D84"/>
    <w:rsid w:val="002A5DBF"/>
    <w:rsid w:val="002B036E"/>
    <w:rsid w:val="002B1184"/>
    <w:rsid w:val="002B4075"/>
    <w:rsid w:val="002B4241"/>
    <w:rsid w:val="002B482A"/>
    <w:rsid w:val="002B591D"/>
    <w:rsid w:val="002B5F49"/>
    <w:rsid w:val="002B5FB8"/>
    <w:rsid w:val="002B75EC"/>
    <w:rsid w:val="002B7E90"/>
    <w:rsid w:val="002C2714"/>
    <w:rsid w:val="002C3769"/>
    <w:rsid w:val="002C7809"/>
    <w:rsid w:val="002C7AB5"/>
    <w:rsid w:val="002D22C1"/>
    <w:rsid w:val="002D24EC"/>
    <w:rsid w:val="002D37E8"/>
    <w:rsid w:val="002E2479"/>
    <w:rsid w:val="002E6398"/>
    <w:rsid w:val="002E6DF5"/>
    <w:rsid w:val="002E7011"/>
    <w:rsid w:val="002E740D"/>
    <w:rsid w:val="002F00A3"/>
    <w:rsid w:val="002F16DC"/>
    <w:rsid w:val="002F3CAF"/>
    <w:rsid w:val="002F478A"/>
    <w:rsid w:val="002F594F"/>
    <w:rsid w:val="002F7B54"/>
    <w:rsid w:val="002F7E7F"/>
    <w:rsid w:val="00300256"/>
    <w:rsid w:val="00302834"/>
    <w:rsid w:val="00302D89"/>
    <w:rsid w:val="00305CC4"/>
    <w:rsid w:val="00305FD5"/>
    <w:rsid w:val="00307404"/>
    <w:rsid w:val="003076B7"/>
    <w:rsid w:val="00307EA5"/>
    <w:rsid w:val="00310312"/>
    <w:rsid w:val="00310379"/>
    <w:rsid w:val="00311834"/>
    <w:rsid w:val="00311DDF"/>
    <w:rsid w:val="003123CA"/>
    <w:rsid w:val="0031277C"/>
    <w:rsid w:val="00312B4F"/>
    <w:rsid w:val="00312FE1"/>
    <w:rsid w:val="00313366"/>
    <w:rsid w:val="003138CC"/>
    <w:rsid w:val="00313DD7"/>
    <w:rsid w:val="00314D2E"/>
    <w:rsid w:val="003157F0"/>
    <w:rsid w:val="003167F6"/>
    <w:rsid w:val="003169A1"/>
    <w:rsid w:val="00320BAD"/>
    <w:rsid w:val="00322795"/>
    <w:rsid w:val="003239BA"/>
    <w:rsid w:val="003239F7"/>
    <w:rsid w:val="003275BE"/>
    <w:rsid w:val="00327680"/>
    <w:rsid w:val="00330A5A"/>
    <w:rsid w:val="00330FA0"/>
    <w:rsid w:val="00332BC1"/>
    <w:rsid w:val="00333C9E"/>
    <w:rsid w:val="00333CEE"/>
    <w:rsid w:val="00334500"/>
    <w:rsid w:val="00334B65"/>
    <w:rsid w:val="00337C54"/>
    <w:rsid w:val="003408B3"/>
    <w:rsid w:val="00340C53"/>
    <w:rsid w:val="003414CB"/>
    <w:rsid w:val="003416D4"/>
    <w:rsid w:val="00342E26"/>
    <w:rsid w:val="00344501"/>
    <w:rsid w:val="003447E0"/>
    <w:rsid w:val="00345AD8"/>
    <w:rsid w:val="00346067"/>
    <w:rsid w:val="0034714A"/>
    <w:rsid w:val="00347312"/>
    <w:rsid w:val="003475D8"/>
    <w:rsid w:val="00350B9E"/>
    <w:rsid w:val="00353DEF"/>
    <w:rsid w:val="00357187"/>
    <w:rsid w:val="00361B21"/>
    <w:rsid w:val="00361C0F"/>
    <w:rsid w:val="00361D53"/>
    <w:rsid w:val="00362E03"/>
    <w:rsid w:val="00362F82"/>
    <w:rsid w:val="00363B71"/>
    <w:rsid w:val="00363F18"/>
    <w:rsid w:val="00365E0A"/>
    <w:rsid w:val="00366330"/>
    <w:rsid w:val="0036652F"/>
    <w:rsid w:val="0037016A"/>
    <w:rsid w:val="00370645"/>
    <w:rsid w:val="003714D2"/>
    <w:rsid w:val="00372E81"/>
    <w:rsid w:val="003732C4"/>
    <w:rsid w:val="00374A65"/>
    <w:rsid w:val="00374FF7"/>
    <w:rsid w:val="00377BC0"/>
    <w:rsid w:val="00377D25"/>
    <w:rsid w:val="00381793"/>
    <w:rsid w:val="00381CD3"/>
    <w:rsid w:val="00382530"/>
    <w:rsid w:val="00383389"/>
    <w:rsid w:val="00383B64"/>
    <w:rsid w:val="00386C42"/>
    <w:rsid w:val="003879DC"/>
    <w:rsid w:val="00390689"/>
    <w:rsid w:val="00391F0E"/>
    <w:rsid w:val="00392CE5"/>
    <w:rsid w:val="00392E2D"/>
    <w:rsid w:val="00392F1E"/>
    <w:rsid w:val="003935C1"/>
    <w:rsid w:val="0039496C"/>
    <w:rsid w:val="0039545F"/>
    <w:rsid w:val="00395733"/>
    <w:rsid w:val="00397245"/>
    <w:rsid w:val="003974C5"/>
    <w:rsid w:val="003A06A0"/>
    <w:rsid w:val="003A085C"/>
    <w:rsid w:val="003A1111"/>
    <w:rsid w:val="003A1A8B"/>
    <w:rsid w:val="003A2E19"/>
    <w:rsid w:val="003A3EAA"/>
    <w:rsid w:val="003A5CBF"/>
    <w:rsid w:val="003A7F5F"/>
    <w:rsid w:val="003B04FC"/>
    <w:rsid w:val="003B055B"/>
    <w:rsid w:val="003B09D6"/>
    <w:rsid w:val="003B131A"/>
    <w:rsid w:val="003B2205"/>
    <w:rsid w:val="003B35C7"/>
    <w:rsid w:val="003B38C8"/>
    <w:rsid w:val="003B568E"/>
    <w:rsid w:val="003B5D68"/>
    <w:rsid w:val="003B7B87"/>
    <w:rsid w:val="003B7E04"/>
    <w:rsid w:val="003C0038"/>
    <w:rsid w:val="003C0240"/>
    <w:rsid w:val="003C270C"/>
    <w:rsid w:val="003C2EA9"/>
    <w:rsid w:val="003C374F"/>
    <w:rsid w:val="003C4282"/>
    <w:rsid w:val="003C5274"/>
    <w:rsid w:val="003C68C4"/>
    <w:rsid w:val="003C76DC"/>
    <w:rsid w:val="003C787A"/>
    <w:rsid w:val="003D153D"/>
    <w:rsid w:val="003D3723"/>
    <w:rsid w:val="003D3904"/>
    <w:rsid w:val="003D62CF"/>
    <w:rsid w:val="003D660B"/>
    <w:rsid w:val="003D6648"/>
    <w:rsid w:val="003D678A"/>
    <w:rsid w:val="003D7A64"/>
    <w:rsid w:val="003D7B8E"/>
    <w:rsid w:val="003E0797"/>
    <w:rsid w:val="003E0BC4"/>
    <w:rsid w:val="003E2CBA"/>
    <w:rsid w:val="003E5705"/>
    <w:rsid w:val="003E5A99"/>
    <w:rsid w:val="003E6547"/>
    <w:rsid w:val="003E787B"/>
    <w:rsid w:val="003F1920"/>
    <w:rsid w:val="003F5FCD"/>
    <w:rsid w:val="00400392"/>
    <w:rsid w:val="0040158D"/>
    <w:rsid w:val="00401E58"/>
    <w:rsid w:val="00403C27"/>
    <w:rsid w:val="00405397"/>
    <w:rsid w:val="00410A2E"/>
    <w:rsid w:val="00411279"/>
    <w:rsid w:val="0041484E"/>
    <w:rsid w:val="00416ACA"/>
    <w:rsid w:val="00420C07"/>
    <w:rsid w:val="004213B8"/>
    <w:rsid w:val="00426C1C"/>
    <w:rsid w:val="00430D98"/>
    <w:rsid w:val="00431743"/>
    <w:rsid w:val="004326A3"/>
    <w:rsid w:val="00432C44"/>
    <w:rsid w:val="00433334"/>
    <w:rsid w:val="0043545E"/>
    <w:rsid w:val="00435ECC"/>
    <w:rsid w:val="00436351"/>
    <w:rsid w:val="004371C1"/>
    <w:rsid w:val="0043763C"/>
    <w:rsid w:val="00440217"/>
    <w:rsid w:val="00440B53"/>
    <w:rsid w:val="00440DEC"/>
    <w:rsid w:val="0044363A"/>
    <w:rsid w:val="0044457A"/>
    <w:rsid w:val="00444F91"/>
    <w:rsid w:val="004463CF"/>
    <w:rsid w:val="00446F7B"/>
    <w:rsid w:val="00447A90"/>
    <w:rsid w:val="004502D0"/>
    <w:rsid w:val="004548B0"/>
    <w:rsid w:val="00456932"/>
    <w:rsid w:val="004570DE"/>
    <w:rsid w:val="00461E37"/>
    <w:rsid w:val="00462AD0"/>
    <w:rsid w:val="00462E84"/>
    <w:rsid w:val="00463D83"/>
    <w:rsid w:val="00464C89"/>
    <w:rsid w:val="004653E5"/>
    <w:rsid w:val="004707E1"/>
    <w:rsid w:val="004712D4"/>
    <w:rsid w:val="0047232E"/>
    <w:rsid w:val="00474019"/>
    <w:rsid w:val="00476823"/>
    <w:rsid w:val="004777A5"/>
    <w:rsid w:val="00480818"/>
    <w:rsid w:val="004828F0"/>
    <w:rsid w:val="00483A99"/>
    <w:rsid w:val="00484350"/>
    <w:rsid w:val="00484A89"/>
    <w:rsid w:val="00484B46"/>
    <w:rsid w:val="00485989"/>
    <w:rsid w:val="00486C8C"/>
    <w:rsid w:val="0048771A"/>
    <w:rsid w:val="00490FCD"/>
    <w:rsid w:val="00492640"/>
    <w:rsid w:val="00492648"/>
    <w:rsid w:val="004929F0"/>
    <w:rsid w:val="004934CD"/>
    <w:rsid w:val="0049350F"/>
    <w:rsid w:val="004935F6"/>
    <w:rsid w:val="004949BB"/>
    <w:rsid w:val="0049540C"/>
    <w:rsid w:val="004955C3"/>
    <w:rsid w:val="00495627"/>
    <w:rsid w:val="00495EB3"/>
    <w:rsid w:val="004A4810"/>
    <w:rsid w:val="004A4DE6"/>
    <w:rsid w:val="004A4E57"/>
    <w:rsid w:val="004A6441"/>
    <w:rsid w:val="004B04FA"/>
    <w:rsid w:val="004B1777"/>
    <w:rsid w:val="004B1A5F"/>
    <w:rsid w:val="004B32AB"/>
    <w:rsid w:val="004B678B"/>
    <w:rsid w:val="004B6B5C"/>
    <w:rsid w:val="004B7B48"/>
    <w:rsid w:val="004B7F34"/>
    <w:rsid w:val="004C0F96"/>
    <w:rsid w:val="004C10B5"/>
    <w:rsid w:val="004C1C2E"/>
    <w:rsid w:val="004C4F54"/>
    <w:rsid w:val="004C5282"/>
    <w:rsid w:val="004C5F45"/>
    <w:rsid w:val="004C7ECA"/>
    <w:rsid w:val="004D227C"/>
    <w:rsid w:val="004D2C4C"/>
    <w:rsid w:val="004D417D"/>
    <w:rsid w:val="004D48FB"/>
    <w:rsid w:val="004D5F05"/>
    <w:rsid w:val="004D64F4"/>
    <w:rsid w:val="004D67BA"/>
    <w:rsid w:val="004D6AE1"/>
    <w:rsid w:val="004D6B8B"/>
    <w:rsid w:val="004D6EF7"/>
    <w:rsid w:val="004D7213"/>
    <w:rsid w:val="004E13E0"/>
    <w:rsid w:val="004E16E2"/>
    <w:rsid w:val="004E2909"/>
    <w:rsid w:val="004E2EE2"/>
    <w:rsid w:val="004E3147"/>
    <w:rsid w:val="004E3C4A"/>
    <w:rsid w:val="004E4916"/>
    <w:rsid w:val="004E4C28"/>
    <w:rsid w:val="004E5A8E"/>
    <w:rsid w:val="004F04BA"/>
    <w:rsid w:val="004F1BB1"/>
    <w:rsid w:val="004F398F"/>
    <w:rsid w:val="004F3D13"/>
    <w:rsid w:val="004F53AB"/>
    <w:rsid w:val="004F64B8"/>
    <w:rsid w:val="005011A4"/>
    <w:rsid w:val="00503CA0"/>
    <w:rsid w:val="0050505B"/>
    <w:rsid w:val="00507E8F"/>
    <w:rsid w:val="00511D7E"/>
    <w:rsid w:val="005120F4"/>
    <w:rsid w:val="0051281F"/>
    <w:rsid w:val="00514E7B"/>
    <w:rsid w:val="005162AF"/>
    <w:rsid w:val="005172F1"/>
    <w:rsid w:val="005202E2"/>
    <w:rsid w:val="005205B2"/>
    <w:rsid w:val="005226AA"/>
    <w:rsid w:val="00524414"/>
    <w:rsid w:val="00524BF4"/>
    <w:rsid w:val="0052590C"/>
    <w:rsid w:val="00526738"/>
    <w:rsid w:val="00527000"/>
    <w:rsid w:val="00527D31"/>
    <w:rsid w:val="005323F2"/>
    <w:rsid w:val="00532C19"/>
    <w:rsid w:val="005342B0"/>
    <w:rsid w:val="00534DD1"/>
    <w:rsid w:val="0053539B"/>
    <w:rsid w:val="00536C59"/>
    <w:rsid w:val="005408A1"/>
    <w:rsid w:val="00542046"/>
    <w:rsid w:val="0054462A"/>
    <w:rsid w:val="00545848"/>
    <w:rsid w:val="005458AF"/>
    <w:rsid w:val="0054660A"/>
    <w:rsid w:val="0054756B"/>
    <w:rsid w:val="0055194D"/>
    <w:rsid w:val="00551AB6"/>
    <w:rsid w:val="00551B8F"/>
    <w:rsid w:val="00552AD7"/>
    <w:rsid w:val="00553223"/>
    <w:rsid w:val="00556279"/>
    <w:rsid w:val="00556AA5"/>
    <w:rsid w:val="00557066"/>
    <w:rsid w:val="005602D7"/>
    <w:rsid w:val="0056305F"/>
    <w:rsid w:val="0057221F"/>
    <w:rsid w:val="00572B89"/>
    <w:rsid w:val="0057333C"/>
    <w:rsid w:val="00573865"/>
    <w:rsid w:val="00573866"/>
    <w:rsid w:val="00575F4E"/>
    <w:rsid w:val="005776B7"/>
    <w:rsid w:val="00577A60"/>
    <w:rsid w:val="0058162B"/>
    <w:rsid w:val="00581661"/>
    <w:rsid w:val="00582B9B"/>
    <w:rsid w:val="00582CE4"/>
    <w:rsid w:val="00585437"/>
    <w:rsid w:val="005867BB"/>
    <w:rsid w:val="005921FF"/>
    <w:rsid w:val="005931C1"/>
    <w:rsid w:val="005932C6"/>
    <w:rsid w:val="005946D2"/>
    <w:rsid w:val="00596489"/>
    <w:rsid w:val="005965C1"/>
    <w:rsid w:val="00597CC3"/>
    <w:rsid w:val="00597EF7"/>
    <w:rsid w:val="005A0575"/>
    <w:rsid w:val="005A2146"/>
    <w:rsid w:val="005A5227"/>
    <w:rsid w:val="005A5273"/>
    <w:rsid w:val="005A545F"/>
    <w:rsid w:val="005A65AD"/>
    <w:rsid w:val="005B0330"/>
    <w:rsid w:val="005B18AD"/>
    <w:rsid w:val="005B1D6B"/>
    <w:rsid w:val="005B32C9"/>
    <w:rsid w:val="005B4824"/>
    <w:rsid w:val="005B6516"/>
    <w:rsid w:val="005C08A4"/>
    <w:rsid w:val="005C241E"/>
    <w:rsid w:val="005C3BE7"/>
    <w:rsid w:val="005C4BC9"/>
    <w:rsid w:val="005C5D75"/>
    <w:rsid w:val="005C7016"/>
    <w:rsid w:val="005C7AAD"/>
    <w:rsid w:val="005C7E3D"/>
    <w:rsid w:val="005D08D6"/>
    <w:rsid w:val="005D1022"/>
    <w:rsid w:val="005D1A4A"/>
    <w:rsid w:val="005D2C9E"/>
    <w:rsid w:val="005D38A2"/>
    <w:rsid w:val="005D5604"/>
    <w:rsid w:val="005D7110"/>
    <w:rsid w:val="005E06F5"/>
    <w:rsid w:val="005E202B"/>
    <w:rsid w:val="005E474F"/>
    <w:rsid w:val="005E4957"/>
    <w:rsid w:val="005E505C"/>
    <w:rsid w:val="005E7B47"/>
    <w:rsid w:val="005E7BB6"/>
    <w:rsid w:val="005F1CA5"/>
    <w:rsid w:val="005F2C85"/>
    <w:rsid w:val="0060289F"/>
    <w:rsid w:val="006032E8"/>
    <w:rsid w:val="00603FD4"/>
    <w:rsid w:val="00603FE7"/>
    <w:rsid w:val="0060451E"/>
    <w:rsid w:val="00604FF8"/>
    <w:rsid w:val="00605922"/>
    <w:rsid w:val="0060756B"/>
    <w:rsid w:val="006100B0"/>
    <w:rsid w:val="00611293"/>
    <w:rsid w:val="00613875"/>
    <w:rsid w:val="00614CDF"/>
    <w:rsid w:val="00616B54"/>
    <w:rsid w:val="0062053E"/>
    <w:rsid w:val="006213FF"/>
    <w:rsid w:val="00623AC0"/>
    <w:rsid w:val="00624627"/>
    <w:rsid w:val="006248BA"/>
    <w:rsid w:val="00625114"/>
    <w:rsid w:val="0062751E"/>
    <w:rsid w:val="0063018B"/>
    <w:rsid w:val="0063047E"/>
    <w:rsid w:val="00630AA1"/>
    <w:rsid w:val="00630AC0"/>
    <w:rsid w:val="0063393C"/>
    <w:rsid w:val="00634C1E"/>
    <w:rsid w:val="006352F9"/>
    <w:rsid w:val="00635770"/>
    <w:rsid w:val="00635C95"/>
    <w:rsid w:val="0063600E"/>
    <w:rsid w:val="0063719C"/>
    <w:rsid w:val="006371C4"/>
    <w:rsid w:val="00642E57"/>
    <w:rsid w:val="00642EEE"/>
    <w:rsid w:val="006430CD"/>
    <w:rsid w:val="00643426"/>
    <w:rsid w:val="00643E10"/>
    <w:rsid w:val="00645635"/>
    <w:rsid w:val="00646012"/>
    <w:rsid w:val="00646A0F"/>
    <w:rsid w:val="00646E8B"/>
    <w:rsid w:val="0065036D"/>
    <w:rsid w:val="00653673"/>
    <w:rsid w:val="00654D98"/>
    <w:rsid w:val="006550AA"/>
    <w:rsid w:val="00655292"/>
    <w:rsid w:val="00655D53"/>
    <w:rsid w:val="00656EFE"/>
    <w:rsid w:val="00657882"/>
    <w:rsid w:val="00661677"/>
    <w:rsid w:val="00662296"/>
    <w:rsid w:val="00662B8B"/>
    <w:rsid w:val="006635C2"/>
    <w:rsid w:val="0066369E"/>
    <w:rsid w:val="0066493F"/>
    <w:rsid w:val="00664961"/>
    <w:rsid w:val="00665A6C"/>
    <w:rsid w:val="00666660"/>
    <w:rsid w:val="0066697A"/>
    <w:rsid w:val="00667225"/>
    <w:rsid w:val="00667694"/>
    <w:rsid w:val="00667F55"/>
    <w:rsid w:val="00671419"/>
    <w:rsid w:val="006736F1"/>
    <w:rsid w:val="00676B09"/>
    <w:rsid w:val="00680781"/>
    <w:rsid w:val="0068351B"/>
    <w:rsid w:val="00683B31"/>
    <w:rsid w:val="00684F8B"/>
    <w:rsid w:val="00685494"/>
    <w:rsid w:val="00685527"/>
    <w:rsid w:val="0069046F"/>
    <w:rsid w:val="0069053E"/>
    <w:rsid w:val="00694356"/>
    <w:rsid w:val="00696FD6"/>
    <w:rsid w:val="0069712B"/>
    <w:rsid w:val="006A0633"/>
    <w:rsid w:val="006A2F67"/>
    <w:rsid w:val="006A3DA2"/>
    <w:rsid w:val="006A4791"/>
    <w:rsid w:val="006A49F1"/>
    <w:rsid w:val="006A4CC9"/>
    <w:rsid w:val="006A6636"/>
    <w:rsid w:val="006A68F6"/>
    <w:rsid w:val="006A7796"/>
    <w:rsid w:val="006B1B8C"/>
    <w:rsid w:val="006B3224"/>
    <w:rsid w:val="006B5C0F"/>
    <w:rsid w:val="006B5DC1"/>
    <w:rsid w:val="006B5E5D"/>
    <w:rsid w:val="006B62F1"/>
    <w:rsid w:val="006B7240"/>
    <w:rsid w:val="006B7413"/>
    <w:rsid w:val="006C0632"/>
    <w:rsid w:val="006C2CCD"/>
    <w:rsid w:val="006C2EA1"/>
    <w:rsid w:val="006C4979"/>
    <w:rsid w:val="006C54E9"/>
    <w:rsid w:val="006C7003"/>
    <w:rsid w:val="006D04D8"/>
    <w:rsid w:val="006D0D83"/>
    <w:rsid w:val="006D1F4B"/>
    <w:rsid w:val="006D368E"/>
    <w:rsid w:val="006D38D0"/>
    <w:rsid w:val="006D425C"/>
    <w:rsid w:val="006D44B8"/>
    <w:rsid w:val="006D4B91"/>
    <w:rsid w:val="006D6C49"/>
    <w:rsid w:val="006D728C"/>
    <w:rsid w:val="006E0590"/>
    <w:rsid w:val="006E08A5"/>
    <w:rsid w:val="006E12BC"/>
    <w:rsid w:val="006E16C8"/>
    <w:rsid w:val="006E2CE2"/>
    <w:rsid w:val="006E3445"/>
    <w:rsid w:val="006E3583"/>
    <w:rsid w:val="006E36F4"/>
    <w:rsid w:val="006E4F49"/>
    <w:rsid w:val="006E52F5"/>
    <w:rsid w:val="006E5440"/>
    <w:rsid w:val="006E70AA"/>
    <w:rsid w:val="006F0BE3"/>
    <w:rsid w:val="006F18F8"/>
    <w:rsid w:val="006F239B"/>
    <w:rsid w:val="006F3776"/>
    <w:rsid w:val="006F4994"/>
    <w:rsid w:val="006F49DC"/>
    <w:rsid w:val="006F5F44"/>
    <w:rsid w:val="006F7425"/>
    <w:rsid w:val="00700A7A"/>
    <w:rsid w:val="00701319"/>
    <w:rsid w:val="0070228D"/>
    <w:rsid w:val="00702D79"/>
    <w:rsid w:val="0070605F"/>
    <w:rsid w:val="00706F5D"/>
    <w:rsid w:val="0071011B"/>
    <w:rsid w:val="00712C7C"/>
    <w:rsid w:val="00713A3C"/>
    <w:rsid w:val="00713CF6"/>
    <w:rsid w:val="00715191"/>
    <w:rsid w:val="00716249"/>
    <w:rsid w:val="00717F69"/>
    <w:rsid w:val="00722136"/>
    <w:rsid w:val="007222B4"/>
    <w:rsid w:val="00723DC4"/>
    <w:rsid w:val="00724921"/>
    <w:rsid w:val="00725F3B"/>
    <w:rsid w:val="00727531"/>
    <w:rsid w:val="007308D0"/>
    <w:rsid w:val="007312AE"/>
    <w:rsid w:val="007359FC"/>
    <w:rsid w:val="00735EA0"/>
    <w:rsid w:val="0073674F"/>
    <w:rsid w:val="00741300"/>
    <w:rsid w:val="00744E90"/>
    <w:rsid w:val="00744E9B"/>
    <w:rsid w:val="00751C11"/>
    <w:rsid w:val="00751DAC"/>
    <w:rsid w:val="007547A7"/>
    <w:rsid w:val="007569CB"/>
    <w:rsid w:val="007572C2"/>
    <w:rsid w:val="00762562"/>
    <w:rsid w:val="007637D2"/>
    <w:rsid w:val="00764989"/>
    <w:rsid w:val="00764FED"/>
    <w:rsid w:val="00765C97"/>
    <w:rsid w:val="0076615F"/>
    <w:rsid w:val="00766E36"/>
    <w:rsid w:val="007718ED"/>
    <w:rsid w:val="00772A40"/>
    <w:rsid w:val="007741D5"/>
    <w:rsid w:val="00774579"/>
    <w:rsid w:val="00774879"/>
    <w:rsid w:val="00774DA4"/>
    <w:rsid w:val="00775B60"/>
    <w:rsid w:val="00776D36"/>
    <w:rsid w:val="0077762B"/>
    <w:rsid w:val="00777D18"/>
    <w:rsid w:val="00777EDB"/>
    <w:rsid w:val="00777FC4"/>
    <w:rsid w:val="00780365"/>
    <w:rsid w:val="00781A59"/>
    <w:rsid w:val="00782A9C"/>
    <w:rsid w:val="00783C7D"/>
    <w:rsid w:val="00785715"/>
    <w:rsid w:val="007858AD"/>
    <w:rsid w:val="00785B32"/>
    <w:rsid w:val="007908B7"/>
    <w:rsid w:val="00790F60"/>
    <w:rsid w:val="00791431"/>
    <w:rsid w:val="00791701"/>
    <w:rsid w:val="00791DF4"/>
    <w:rsid w:val="007920D7"/>
    <w:rsid w:val="00792AD8"/>
    <w:rsid w:val="007943E9"/>
    <w:rsid w:val="00794FBC"/>
    <w:rsid w:val="00797678"/>
    <w:rsid w:val="007A266F"/>
    <w:rsid w:val="007A2D3E"/>
    <w:rsid w:val="007A3B14"/>
    <w:rsid w:val="007A3C86"/>
    <w:rsid w:val="007A6D76"/>
    <w:rsid w:val="007A7667"/>
    <w:rsid w:val="007B1DCD"/>
    <w:rsid w:val="007B37BC"/>
    <w:rsid w:val="007B39B8"/>
    <w:rsid w:val="007B5D9D"/>
    <w:rsid w:val="007C05AF"/>
    <w:rsid w:val="007C36C0"/>
    <w:rsid w:val="007C3AAD"/>
    <w:rsid w:val="007C44B3"/>
    <w:rsid w:val="007C60C3"/>
    <w:rsid w:val="007D0A24"/>
    <w:rsid w:val="007D1C13"/>
    <w:rsid w:val="007D1E2B"/>
    <w:rsid w:val="007D2F6B"/>
    <w:rsid w:val="007D4CED"/>
    <w:rsid w:val="007D5255"/>
    <w:rsid w:val="007D6CC9"/>
    <w:rsid w:val="007E3480"/>
    <w:rsid w:val="007E42BD"/>
    <w:rsid w:val="007E59ED"/>
    <w:rsid w:val="007E604D"/>
    <w:rsid w:val="007E6AEC"/>
    <w:rsid w:val="007F1140"/>
    <w:rsid w:val="007F1341"/>
    <w:rsid w:val="007F1A8A"/>
    <w:rsid w:val="007F2062"/>
    <w:rsid w:val="007F5278"/>
    <w:rsid w:val="007F614A"/>
    <w:rsid w:val="007F7D16"/>
    <w:rsid w:val="00801DB2"/>
    <w:rsid w:val="0080417C"/>
    <w:rsid w:val="0080493E"/>
    <w:rsid w:val="008055A6"/>
    <w:rsid w:val="008066BA"/>
    <w:rsid w:val="008066D2"/>
    <w:rsid w:val="00806C56"/>
    <w:rsid w:val="008078A6"/>
    <w:rsid w:val="00810C26"/>
    <w:rsid w:val="008122B0"/>
    <w:rsid w:val="00812DF5"/>
    <w:rsid w:val="00813B03"/>
    <w:rsid w:val="0081472D"/>
    <w:rsid w:val="0081588E"/>
    <w:rsid w:val="00815981"/>
    <w:rsid w:val="008159C3"/>
    <w:rsid w:val="00816DE5"/>
    <w:rsid w:val="00817021"/>
    <w:rsid w:val="00817A89"/>
    <w:rsid w:val="00820A0F"/>
    <w:rsid w:val="008234D8"/>
    <w:rsid w:val="00824694"/>
    <w:rsid w:val="008250F3"/>
    <w:rsid w:val="008276F4"/>
    <w:rsid w:val="0083075D"/>
    <w:rsid w:val="0083109F"/>
    <w:rsid w:val="008313CA"/>
    <w:rsid w:val="008317FA"/>
    <w:rsid w:val="00831D6B"/>
    <w:rsid w:val="00832504"/>
    <w:rsid w:val="008331C1"/>
    <w:rsid w:val="00837085"/>
    <w:rsid w:val="00840306"/>
    <w:rsid w:val="008420EB"/>
    <w:rsid w:val="008444A7"/>
    <w:rsid w:val="008462D6"/>
    <w:rsid w:val="00846B97"/>
    <w:rsid w:val="00850E73"/>
    <w:rsid w:val="00850FEE"/>
    <w:rsid w:val="00851BA6"/>
    <w:rsid w:val="0085373B"/>
    <w:rsid w:val="00862D10"/>
    <w:rsid w:val="0086351B"/>
    <w:rsid w:val="00864576"/>
    <w:rsid w:val="00866357"/>
    <w:rsid w:val="00871020"/>
    <w:rsid w:val="00871B47"/>
    <w:rsid w:val="0087288B"/>
    <w:rsid w:val="00873780"/>
    <w:rsid w:val="00874372"/>
    <w:rsid w:val="008748EE"/>
    <w:rsid w:val="00874A90"/>
    <w:rsid w:val="00875599"/>
    <w:rsid w:val="00881D8A"/>
    <w:rsid w:val="008826FA"/>
    <w:rsid w:val="008834BE"/>
    <w:rsid w:val="00884F6D"/>
    <w:rsid w:val="008857C0"/>
    <w:rsid w:val="008868F2"/>
    <w:rsid w:val="0088735A"/>
    <w:rsid w:val="00887838"/>
    <w:rsid w:val="00891510"/>
    <w:rsid w:val="00891848"/>
    <w:rsid w:val="00891CE6"/>
    <w:rsid w:val="00892911"/>
    <w:rsid w:val="0089460D"/>
    <w:rsid w:val="00896B79"/>
    <w:rsid w:val="0089768D"/>
    <w:rsid w:val="008A1019"/>
    <w:rsid w:val="008A22D7"/>
    <w:rsid w:val="008A2496"/>
    <w:rsid w:val="008A53ED"/>
    <w:rsid w:val="008B0037"/>
    <w:rsid w:val="008B1391"/>
    <w:rsid w:val="008B251F"/>
    <w:rsid w:val="008B6224"/>
    <w:rsid w:val="008B6B0A"/>
    <w:rsid w:val="008B7166"/>
    <w:rsid w:val="008C1E14"/>
    <w:rsid w:val="008C31FA"/>
    <w:rsid w:val="008C3676"/>
    <w:rsid w:val="008C4B2C"/>
    <w:rsid w:val="008C639B"/>
    <w:rsid w:val="008C6FA3"/>
    <w:rsid w:val="008C7A26"/>
    <w:rsid w:val="008D0530"/>
    <w:rsid w:val="008D07D5"/>
    <w:rsid w:val="008D10C4"/>
    <w:rsid w:val="008D1B6E"/>
    <w:rsid w:val="008D32D3"/>
    <w:rsid w:val="008D3877"/>
    <w:rsid w:val="008D3B11"/>
    <w:rsid w:val="008D41BE"/>
    <w:rsid w:val="008D486A"/>
    <w:rsid w:val="008D534F"/>
    <w:rsid w:val="008D626D"/>
    <w:rsid w:val="008D6832"/>
    <w:rsid w:val="008D75AF"/>
    <w:rsid w:val="008E1E5A"/>
    <w:rsid w:val="008E3754"/>
    <w:rsid w:val="008E69D8"/>
    <w:rsid w:val="008E6B4C"/>
    <w:rsid w:val="008F2A84"/>
    <w:rsid w:val="008F3BEC"/>
    <w:rsid w:val="008F57F2"/>
    <w:rsid w:val="008F63FD"/>
    <w:rsid w:val="008F669B"/>
    <w:rsid w:val="009007CD"/>
    <w:rsid w:val="00900C7A"/>
    <w:rsid w:val="00900F6C"/>
    <w:rsid w:val="0090268F"/>
    <w:rsid w:val="009026F4"/>
    <w:rsid w:val="00902B38"/>
    <w:rsid w:val="009032BC"/>
    <w:rsid w:val="0090389B"/>
    <w:rsid w:val="00905742"/>
    <w:rsid w:val="009066AD"/>
    <w:rsid w:val="00910776"/>
    <w:rsid w:val="009114C1"/>
    <w:rsid w:val="00911883"/>
    <w:rsid w:val="00911F64"/>
    <w:rsid w:val="00912853"/>
    <w:rsid w:val="00912CB3"/>
    <w:rsid w:val="00912DE0"/>
    <w:rsid w:val="00912F5A"/>
    <w:rsid w:val="00914009"/>
    <w:rsid w:val="00915DAB"/>
    <w:rsid w:val="00916B01"/>
    <w:rsid w:val="00920782"/>
    <w:rsid w:val="00920B33"/>
    <w:rsid w:val="00921EB4"/>
    <w:rsid w:val="009221B6"/>
    <w:rsid w:val="009236F1"/>
    <w:rsid w:val="0092528D"/>
    <w:rsid w:val="009264DF"/>
    <w:rsid w:val="0092732E"/>
    <w:rsid w:val="00931A90"/>
    <w:rsid w:val="00931F3B"/>
    <w:rsid w:val="00933F7A"/>
    <w:rsid w:val="00934A53"/>
    <w:rsid w:val="00935B29"/>
    <w:rsid w:val="00936ED9"/>
    <w:rsid w:val="00937347"/>
    <w:rsid w:val="00941545"/>
    <w:rsid w:val="00942349"/>
    <w:rsid w:val="00942DFB"/>
    <w:rsid w:val="00943648"/>
    <w:rsid w:val="009440BA"/>
    <w:rsid w:val="00944699"/>
    <w:rsid w:val="00946352"/>
    <w:rsid w:val="00947418"/>
    <w:rsid w:val="00952D29"/>
    <w:rsid w:val="0095359A"/>
    <w:rsid w:val="00953B08"/>
    <w:rsid w:val="00954B61"/>
    <w:rsid w:val="00956A18"/>
    <w:rsid w:val="00957663"/>
    <w:rsid w:val="00957E4C"/>
    <w:rsid w:val="00961D75"/>
    <w:rsid w:val="00962457"/>
    <w:rsid w:val="00963118"/>
    <w:rsid w:val="00963B81"/>
    <w:rsid w:val="009657E9"/>
    <w:rsid w:val="00967EB6"/>
    <w:rsid w:val="009707FA"/>
    <w:rsid w:val="00971F8E"/>
    <w:rsid w:val="00972E9E"/>
    <w:rsid w:val="00973B91"/>
    <w:rsid w:val="0097558C"/>
    <w:rsid w:val="009757F2"/>
    <w:rsid w:val="00980324"/>
    <w:rsid w:val="009808E8"/>
    <w:rsid w:val="00980F76"/>
    <w:rsid w:val="009817F3"/>
    <w:rsid w:val="00981EA5"/>
    <w:rsid w:val="00982729"/>
    <w:rsid w:val="00982B74"/>
    <w:rsid w:val="00983A8F"/>
    <w:rsid w:val="00986B60"/>
    <w:rsid w:val="00986CA4"/>
    <w:rsid w:val="009907BF"/>
    <w:rsid w:val="0099277F"/>
    <w:rsid w:val="00995914"/>
    <w:rsid w:val="00995C4B"/>
    <w:rsid w:val="00996433"/>
    <w:rsid w:val="009A0101"/>
    <w:rsid w:val="009A0342"/>
    <w:rsid w:val="009A0C34"/>
    <w:rsid w:val="009A0E84"/>
    <w:rsid w:val="009A358E"/>
    <w:rsid w:val="009A4525"/>
    <w:rsid w:val="009A4A43"/>
    <w:rsid w:val="009A4FFF"/>
    <w:rsid w:val="009B10AA"/>
    <w:rsid w:val="009B130B"/>
    <w:rsid w:val="009B58D7"/>
    <w:rsid w:val="009C0331"/>
    <w:rsid w:val="009C1F2A"/>
    <w:rsid w:val="009C1F59"/>
    <w:rsid w:val="009C389C"/>
    <w:rsid w:val="009C523A"/>
    <w:rsid w:val="009C7092"/>
    <w:rsid w:val="009C7A46"/>
    <w:rsid w:val="009D362E"/>
    <w:rsid w:val="009D4A99"/>
    <w:rsid w:val="009D4EBC"/>
    <w:rsid w:val="009D64E3"/>
    <w:rsid w:val="009D6D04"/>
    <w:rsid w:val="009E5E23"/>
    <w:rsid w:val="009E6366"/>
    <w:rsid w:val="009E6F4F"/>
    <w:rsid w:val="009F0A87"/>
    <w:rsid w:val="00A02040"/>
    <w:rsid w:val="00A0289A"/>
    <w:rsid w:val="00A04FEF"/>
    <w:rsid w:val="00A05DA0"/>
    <w:rsid w:val="00A06BEB"/>
    <w:rsid w:val="00A0789B"/>
    <w:rsid w:val="00A1337A"/>
    <w:rsid w:val="00A13A09"/>
    <w:rsid w:val="00A14CFC"/>
    <w:rsid w:val="00A15DE7"/>
    <w:rsid w:val="00A167B9"/>
    <w:rsid w:val="00A17320"/>
    <w:rsid w:val="00A178E8"/>
    <w:rsid w:val="00A2111D"/>
    <w:rsid w:val="00A23D11"/>
    <w:rsid w:val="00A24079"/>
    <w:rsid w:val="00A25C4B"/>
    <w:rsid w:val="00A26700"/>
    <w:rsid w:val="00A30C59"/>
    <w:rsid w:val="00A31260"/>
    <w:rsid w:val="00A3244E"/>
    <w:rsid w:val="00A326A2"/>
    <w:rsid w:val="00A33B90"/>
    <w:rsid w:val="00A341AA"/>
    <w:rsid w:val="00A34978"/>
    <w:rsid w:val="00A357DF"/>
    <w:rsid w:val="00A378DF"/>
    <w:rsid w:val="00A37D99"/>
    <w:rsid w:val="00A417A1"/>
    <w:rsid w:val="00A42CE8"/>
    <w:rsid w:val="00A436A4"/>
    <w:rsid w:val="00A43D9E"/>
    <w:rsid w:val="00A44780"/>
    <w:rsid w:val="00A44792"/>
    <w:rsid w:val="00A460A8"/>
    <w:rsid w:val="00A46F58"/>
    <w:rsid w:val="00A4761F"/>
    <w:rsid w:val="00A4775B"/>
    <w:rsid w:val="00A47818"/>
    <w:rsid w:val="00A5127C"/>
    <w:rsid w:val="00A5282B"/>
    <w:rsid w:val="00A52C5E"/>
    <w:rsid w:val="00A551AA"/>
    <w:rsid w:val="00A551FF"/>
    <w:rsid w:val="00A56A5E"/>
    <w:rsid w:val="00A56EC5"/>
    <w:rsid w:val="00A5789D"/>
    <w:rsid w:val="00A6035F"/>
    <w:rsid w:val="00A608BF"/>
    <w:rsid w:val="00A61BAF"/>
    <w:rsid w:val="00A61E35"/>
    <w:rsid w:val="00A62536"/>
    <w:rsid w:val="00A63EF1"/>
    <w:rsid w:val="00A64FB5"/>
    <w:rsid w:val="00A652AD"/>
    <w:rsid w:val="00A668C1"/>
    <w:rsid w:val="00A6741D"/>
    <w:rsid w:val="00A73D01"/>
    <w:rsid w:val="00A74320"/>
    <w:rsid w:val="00A751CB"/>
    <w:rsid w:val="00A75471"/>
    <w:rsid w:val="00A75EC4"/>
    <w:rsid w:val="00A763A5"/>
    <w:rsid w:val="00A76D2E"/>
    <w:rsid w:val="00A76FEC"/>
    <w:rsid w:val="00A803CE"/>
    <w:rsid w:val="00A80A54"/>
    <w:rsid w:val="00A8215A"/>
    <w:rsid w:val="00A82520"/>
    <w:rsid w:val="00A831D7"/>
    <w:rsid w:val="00A84B2E"/>
    <w:rsid w:val="00A873A2"/>
    <w:rsid w:val="00A87DAB"/>
    <w:rsid w:val="00A90DA4"/>
    <w:rsid w:val="00A9105F"/>
    <w:rsid w:val="00A921FC"/>
    <w:rsid w:val="00A93365"/>
    <w:rsid w:val="00A95DC4"/>
    <w:rsid w:val="00AA1969"/>
    <w:rsid w:val="00AA200A"/>
    <w:rsid w:val="00AA20A2"/>
    <w:rsid w:val="00AA2587"/>
    <w:rsid w:val="00AA4853"/>
    <w:rsid w:val="00AA5F42"/>
    <w:rsid w:val="00AA762B"/>
    <w:rsid w:val="00AB0E16"/>
    <w:rsid w:val="00AB1A8A"/>
    <w:rsid w:val="00AB36EB"/>
    <w:rsid w:val="00AB4E8A"/>
    <w:rsid w:val="00AB5BDF"/>
    <w:rsid w:val="00AB650D"/>
    <w:rsid w:val="00AB67FC"/>
    <w:rsid w:val="00AB6C18"/>
    <w:rsid w:val="00AB77DD"/>
    <w:rsid w:val="00AB78EB"/>
    <w:rsid w:val="00AB7A74"/>
    <w:rsid w:val="00AC1A73"/>
    <w:rsid w:val="00AC43BB"/>
    <w:rsid w:val="00AC6624"/>
    <w:rsid w:val="00AC6FB9"/>
    <w:rsid w:val="00AD0408"/>
    <w:rsid w:val="00AD2294"/>
    <w:rsid w:val="00AD5407"/>
    <w:rsid w:val="00AD56E4"/>
    <w:rsid w:val="00AD5B7D"/>
    <w:rsid w:val="00AD6612"/>
    <w:rsid w:val="00AE0A88"/>
    <w:rsid w:val="00AE0DC3"/>
    <w:rsid w:val="00AE1293"/>
    <w:rsid w:val="00AE1CBE"/>
    <w:rsid w:val="00AE3196"/>
    <w:rsid w:val="00AE3523"/>
    <w:rsid w:val="00AE3A5B"/>
    <w:rsid w:val="00AE602A"/>
    <w:rsid w:val="00AE6A2D"/>
    <w:rsid w:val="00AF0D7A"/>
    <w:rsid w:val="00AF1999"/>
    <w:rsid w:val="00AF1CF3"/>
    <w:rsid w:val="00AF31C1"/>
    <w:rsid w:val="00AF50D6"/>
    <w:rsid w:val="00AF797C"/>
    <w:rsid w:val="00AF7A6A"/>
    <w:rsid w:val="00B02CB3"/>
    <w:rsid w:val="00B02EA2"/>
    <w:rsid w:val="00B06B45"/>
    <w:rsid w:val="00B06C73"/>
    <w:rsid w:val="00B1148E"/>
    <w:rsid w:val="00B11875"/>
    <w:rsid w:val="00B11A58"/>
    <w:rsid w:val="00B14AF1"/>
    <w:rsid w:val="00B15629"/>
    <w:rsid w:val="00B15821"/>
    <w:rsid w:val="00B15920"/>
    <w:rsid w:val="00B17090"/>
    <w:rsid w:val="00B172E3"/>
    <w:rsid w:val="00B20C7D"/>
    <w:rsid w:val="00B210A5"/>
    <w:rsid w:val="00B21AE9"/>
    <w:rsid w:val="00B21B7F"/>
    <w:rsid w:val="00B22836"/>
    <w:rsid w:val="00B2436A"/>
    <w:rsid w:val="00B24433"/>
    <w:rsid w:val="00B273FD"/>
    <w:rsid w:val="00B27A43"/>
    <w:rsid w:val="00B27D9F"/>
    <w:rsid w:val="00B32033"/>
    <w:rsid w:val="00B3251D"/>
    <w:rsid w:val="00B34D9D"/>
    <w:rsid w:val="00B351BC"/>
    <w:rsid w:val="00B362B5"/>
    <w:rsid w:val="00B367B3"/>
    <w:rsid w:val="00B367F7"/>
    <w:rsid w:val="00B374A6"/>
    <w:rsid w:val="00B40F1C"/>
    <w:rsid w:val="00B41A93"/>
    <w:rsid w:val="00B434EE"/>
    <w:rsid w:val="00B44AAD"/>
    <w:rsid w:val="00B474E6"/>
    <w:rsid w:val="00B508BD"/>
    <w:rsid w:val="00B51B41"/>
    <w:rsid w:val="00B529D7"/>
    <w:rsid w:val="00B563A3"/>
    <w:rsid w:val="00B5649D"/>
    <w:rsid w:val="00B628DD"/>
    <w:rsid w:val="00B647A6"/>
    <w:rsid w:val="00B64A9A"/>
    <w:rsid w:val="00B65632"/>
    <w:rsid w:val="00B6588A"/>
    <w:rsid w:val="00B74038"/>
    <w:rsid w:val="00B7443C"/>
    <w:rsid w:val="00B75AC3"/>
    <w:rsid w:val="00B75E39"/>
    <w:rsid w:val="00B7614E"/>
    <w:rsid w:val="00B80ED0"/>
    <w:rsid w:val="00B8121F"/>
    <w:rsid w:val="00B81806"/>
    <w:rsid w:val="00B82965"/>
    <w:rsid w:val="00B840BF"/>
    <w:rsid w:val="00B8458F"/>
    <w:rsid w:val="00B85121"/>
    <w:rsid w:val="00B860E7"/>
    <w:rsid w:val="00B87A82"/>
    <w:rsid w:val="00B90A64"/>
    <w:rsid w:val="00B91CBD"/>
    <w:rsid w:val="00B91D0C"/>
    <w:rsid w:val="00B91D48"/>
    <w:rsid w:val="00B92BA0"/>
    <w:rsid w:val="00B93706"/>
    <w:rsid w:val="00B93E68"/>
    <w:rsid w:val="00B9404B"/>
    <w:rsid w:val="00B9413C"/>
    <w:rsid w:val="00B967D4"/>
    <w:rsid w:val="00B978D3"/>
    <w:rsid w:val="00B97F2B"/>
    <w:rsid w:val="00BA037E"/>
    <w:rsid w:val="00BA0C29"/>
    <w:rsid w:val="00BA1ECF"/>
    <w:rsid w:val="00BA297E"/>
    <w:rsid w:val="00BA303D"/>
    <w:rsid w:val="00BA33F4"/>
    <w:rsid w:val="00BA5545"/>
    <w:rsid w:val="00BA5D8B"/>
    <w:rsid w:val="00BA6937"/>
    <w:rsid w:val="00BA7536"/>
    <w:rsid w:val="00BB0467"/>
    <w:rsid w:val="00BB177E"/>
    <w:rsid w:val="00BB23AE"/>
    <w:rsid w:val="00BB3401"/>
    <w:rsid w:val="00BB3FA9"/>
    <w:rsid w:val="00BB53D7"/>
    <w:rsid w:val="00BB6650"/>
    <w:rsid w:val="00BB6AA1"/>
    <w:rsid w:val="00BB78DC"/>
    <w:rsid w:val="00BC04DD"/>
    <w:rsid w:val="00BC1F54"/>
    <w:rsid w:val="00BC23DB"/>
    <w:rsid w:val="00BC39F6"/>
    <w:rsid w:val="00BC42FF"/>
    <w:rsid w:val="00BC54EC"/>
    <w:rsid w:val="00BC6181"/>
    <w:rsid w:val="00BC68CA"/>
    <w:rsid w:val="00BD003C"/>
    <w:rsid w:val="00BD0CA8"/>
    <w:rsid w:val="00BD3B7F"/>
    <w:rsid w:val="00BD5170"/>
    <w:rsid w:val="00BD54CE"/>
    <w:rsid w:val="00BD5749"/>
    <w:rsid w:val="00BD72B8"/>
    <w:rsid w:val="00BD7426"/>
    <w:rsid w:val="00BE24DA"/>
    <w:rsid w:val="00BE2A0C"/>
    <w:rsid w:val="00BE396F"/>
    <w:rsid w:val="00BE3F1F"/>
    <w:rsid w:val="00BE43DF"/>
    <w:rsid w:val="00BE47B2"/>
    <w:rsid w:val="00BE7477"/>
    <w:rsid w:val="00BE767C"/>
    <w:rsid w:val="00BE7F2A"/>
    <w:rsid w:val="00BF0AE5"/>
    <w:rsid w:val="00BF268C"/>
    <w:rsid w:val="00BF2BC2"/>
    <w:rsid w:val="00BF33C3"/>
    <w:rsid w:val="00BF4A98"/>
    <w:rsid w:val="00BF594D"/>
    <w:rsid w:val="00C02F69"/>
    <w:rsid w:val="00C053C1"/>
    <w:rsid w:val="00C06825"/>
    <w:rsid w:val="00C06B98"/>
    <w:rsid w:val="00C07028"/>
    <w:rsid w:val="00C07111"/>
    <w:rsid w:val="00C07316"/>
    <w:rsid w:val="00C108E9"/>
    <w:rsid w:val="00C1208B"/>
    <w:rsid w:val="00C14FCC"/>
    <w:rsid w:val="00C20697"/>
    <w:rsid w:val="00C20F18"/>
    <w:rsid w:val="00C214EC"/>
    <w:rsid w:val="00C215CD"/>
    <w:rsid w:val="00C22E9E"/>
    <w:rsid w:val="00C2303C"/>
    <w:rsid w:val="00C232B5"/>
    <w:rsid w:val="00C24FC7"/>
    <w:rsid w:val="00C25C9A"/>
    <w:rsid w:val="00C27C89"/>
    <w:rsid w:val="00C3102C"/>
    <w:rsid w:val="00C320D2"/>
    <w:rsid w:val="00C33F61"/>
    <w:rsid w:val="00C348A4"/>
    <w:rsid w:val="00C34AA2"/>
    <w:rsid w:val="00C35AA0"/>
    <w:rsid w:val="00C3710C"/>
    <w:rsid w:val="00C3781F"/>
    <w:rsid w:val="00C42E90"/>
    <w:rsid w:val="00C5131B"/>
    <w:rsid w:val="00C516A6"/>
    <w:rsid w:val="00C53745"/>
    <w:rsid w:val="00C53ABF"/>
    <w:rsid w:val="00C5501A"/>
    <w:rsid w:val="00C55F7D"/>
    <w:rsid w:val="00C562AD"/>
    <w:rsid w:val="00C56DBB"/>
    <w:rsid w:val="00C606F8"/>
    <w:rsid w:val="00C61BD8"/>
    <w:rsid w:val="00C627A1"/>
    <w:rsid w:val="00C64291"/>
    <w:rsid w:val="00C64D61"/>
    <w:rsid w:val="00C64F29"/>
    <w:rsid w:val="00C67192"/>
    <w:rsid w:val="00C67E6E"/>
    <w:rsid w:val="00C67FC8"/>
    <w:rsid w:val="00C71794"/>
    <w:rsid w:val="00C7498F"/>
    <w:rsid w:val="00C75486"/>
    <w:rsid w:val="00C75B57"/>
    <w:rsid w:val="00C77593"/>
    <w:rsid w:val="00C83F5F"/>
    <w:rsid w:val="00C84569"/>
    <w:rsid w:val="00C84D4E"/>
    <w:rsid w:val="00C85300"/>
    <w:rsid w:val="00C85427"/>
    <w:rsid w:val="00C86118"/>
    <w:rsid w:val="00C865B5"/>
    <w:rsid w:val="00C9075D"/>
    <w:rsid w:val="00C94F54"/>
    <w:rsid w:val="00C958DB"/>
    <w:rsid w:val="00C970B4"/>
    <w:rsid w:val="00CA03BF"/>
    <w:rsid w:val="00CA0438"/>
    <w:rsid w:val="00CA0568"/>
    <w:rsid w:val="00CA21B8"/>
    <w:rsid w:val="00CA7A21"/>
    <w:rsid w:val="00CA7C21"/>
    <w:rsid w:val="00CB0138"/>
    <w:rsid w:val="00CB257C"/>
    <w:rsid w:val="00CB35FD"/>
    <w:rsid w:val="00CB3EF4"/>
    <w:rsid w:val="00CB3F2C"/>
    <w:rsid w:val="00CB4559"/>
    <w:rsid w:val="00CB564F"/>
    <w:rsid w:val="00CB6244"/>
    <w:rsid w:val="00CB7C35"/>
    <w:rsid w:val="00CC0449"/>
    <w:rsid w:val="00CC0E5E"/>
    <w:rsid w:val="00CC2807"/>
    <w:rsid w:val="00CC2A78"/>
    <w:rsid w:val="00CC44ED"/>
    <w:rsid w:val="00CC4C17"/>
    <w:rsid w:val="00CC6161"/>
    <w:rsid w:val="00CC6504"/>
    <w:rsid w:val="00CD05CC"/>
    <w:rsid w:val="00CD11C5"/>
    <w:rsid w:val="00CD1CDD"/>
    <w:rsid w:val="00CD1D40"/>
    <w:rsid w:val="00CD1FCE"/>
    <w:rsid w:val="00CD312C"/>
    <w:rsid w:val="00CD3512"/>
    <w:rsid w:val="00CD3700"/>
    <w:rsid w:val="00CD3F1C"/>
    <w:rsid w:val="00CD4E2C"/>
    <w:rsid w:val="00CE1AC4"/>
    <w:rsid w:val="00CE1AE7"/>
    <w:rsid w:val="00CE503D"/>
    <w:rsid w:val="00CE69BB"/>
    <w:rsid w:val="00CE6FC7"/>
    <w:rsid w:val="00CE77B3"/>
    <w:rsid w:val="00CE7FA2"/>
    <w:rsid w:val="00CF16FA"/>
    <w:rsid w:val="00CF27EF"/>
    <w:rsid w:val="00CF414E"/>
    <w:rsid w:val="00CF456F"/>
    <w:rsid w:val="00CF51C1"/>
    <w:rsid w:val="00CF53D1"/>
    <w:rsid w:val="00CF677C"/>
    <w:rsid w:val="00CF76EC"/>
    <w:rsid w:val="00D00580"/>
    <w:rsid w:val="00D00DB6"/>
    <w:rsid w:val="00D00F56"/>
    <w:rsid w:val="00D04B25"/>
    <w:rsid w:val="00D05D88"/>
    <w:rsid w:val="00D0716C"/>
    <w:rsid w:val="00D079E1"/>
    <w:rsid w:val="00D11A92"/>
    <w:rsid w:val="00D145FB"/>
    <w:rsid w:val="00D158AE"/>
    <w:rsid w:val="00D16935"/>
    <w:rsid w:val="00D204B6"/>
    <w:rsid w:val="00D20B61"/>
    <w:rsid w:val="00D215F3"/>
    <w:rsid w:val="00D234A8"/>
    <w:rsid w:val="00D245E6"/>
    <w:rsid w:val="00D25DBF"/>
    <w:rsid w:val="00D261FE"/>
    <w:rsid w:val="00D27DBD"/>
    <w:rsid w:val="00D302F5"/>
    <w:rsid w:val="00D3197A"/>
    <w:rsid w:val="00D325FB"/>
    <w:rsid w:val="00D3423B"/>
    <w:rsid w:val="00D34C6D"/>
    <w:rsid w:val="00D35669"/>
    <w:rsid w:val="00D360CC"/>
    <w:rsid w:val="00D36B52"/>
    <w:rsid w:val="00D40EF6"/>
    <w:rsid w:val="00D43398"/>
    <w:rsid w:val="00D44301"/>
    <w:rsid w:val="00D45C42"/>
    <w:rsid w:val="00D45FE1"/>
    <w:rsid w:val="00D4649A"/>
    <w:rsid w:val="00D46540"/>
    <w:rsid w:val="00D50741"/>
    <w:rsid w:val="00D525B8"/>
    <w:rsid w:val="00D52A28"/>
    <w:rsid w:val="00D55ADA"/>
    <w:rsid w:val="00D55DA5"/>
    <w:rsid w:val="00D60BDD"/>
    <w:rsid w:val="00D625F5"/>
    <w:rsid w:val="00D62A25"/>
    <w:rsid w:val="00D62E11"/>
    <w:rsid w:val="00D637A8"/>
    <w:rsid w:val="00D63E87"/>
    <w:rsid w:val="00D65781"/>
    <w:rsid w:val="00D65AFC"/>
    <w:rsid w:val="00D7101C"/>
    <w:rsid w:val="00D7131B"/>
    <w:rsid w:val="00D71AB5"/>
    <w:rsid w:val="00D72B36"/>
    <w:rsid w:val="00D74F70"/>
    <w:rsid w:val="00D7655E"/>
    <w:rsid w:val="00D7692E"/>
    <w:rsid w:val="00D80825"/>
    <w:rsid w:val="00D820CB"/>
    <w:rsid w:val="00D90471"/>
    <w:rsid w:val="00D909CE"/>
    <w:rsid w:val="00D9236E"/>
    <w:rsid w:val="00D9319F"/>
    <w:rsid w:val="00D94985"/>
    <w:rsid w:val="00D94DC1"/>
    <w:rsid w:val="00D95B50"/>
    <w:rsid w:val="00D96330"/>
    <w:rsid w:val="00D97B83"/>
    <w:rsid w:val="00DA0E88"/>
    <w:rsid w:val="00DA191F"/>
    <w:rsid w:val="00DA2AED"/>
    <w:rsid w:val="00DA32C6"/>
    <w:rsid w:val="00DA3504"/>
    <w:rsid w:val="00DA4840"/>
    <w:rsid w:val="00DA4EAC"/>
    <w:rsid w:val="00DA67A5"/>
    <w:rsid w:val="00DA72D5"/>
    <w:rsid w:val="00DA7502"/>
    <w:rsid w:val="00DA768C"/>
    <w:rsid w:val="00DB0244"/>
    <w:rsid w:val="00DB135F"/>
    <w:rsid w:val="00DB265B"/>
    <w:rsid w:val="00DB2D70"/>
    <w:rsid w:val="00DC0358"/>
    <w:rsid w:val="00DC1E96"/>
    <w:rsid w:val="00DC2D58"/>
    <w:rsid w:val="00DC2EC0"/>
    <w:rsid w:val="00DC3A1E"/>
    <w:rsid w:val="00DC4400"/>
    <w:rsid w:val="00DC4C61"/>
    <w:rsid w:val="00DD0073"/>
    <w:rsid w:val="00DD0737"/>
    <w:rsid w:val="00DD2F3F"/>
    <w:rsid w:val="00DD4833"/>
    <w:rsid w:val="00DD57C0"/>
    <w:rsid w:val="00DD6551"/>
    <w:rsid w:val="00DD6FCB"/>
    <w:rsid w:val="00DD74B7"/>
    <w:rsid w:val="00DD78CF"/>
    <w:rsid w:val="00DD7BAD"/>
    <w:rsid w:val="00DE21B6"/>
    <w:rsid w:val="00DE2E70"/>
    <w:rsid w:val="00DE68A3"/>
    <w:rsid w:val="00DE7068"/>
    <w:rsid w:val="00DF1EC4"/>
    <w:rsid w:val="00DF4EE7"/>
    <w:rsid w:val="00DF50CB"/>
    <w:rsid w:val="00DF641F"/>
    <w:rsid w:val="00DF78CA"/>
    <w:rsid w:val="00E00B04"/>
    <w:rsid w:val="00E00E72"/>
    <w:rsid w:val="00E036A0"/>
    <w:rsid w:val="00E04BA5"/>
    <w:rsid w:val="00E06956"/>
    <w:rsid w:val="00E06B36"/>
    <w:rsid w:val="00E0788E"/>
    <w:rsid w:val="00E11FBE"/>
    <w:rsid w:val="00E14433"/>
    <w:rsid w:val="00E14D07"/>
    <w:rsid w:val="00E15AB3"/>
    <w:rsid w:val="00E16052"/>
    <w:rsid w:val="00E16874"/>
    <w:rsid w:val="00E17991"/>
    <w:rsid w:val="00E207E8"/>
    <w:rsid w:val="00E2093F"/>
    <w:rsid w:val="00E20A9E"/>
    <w:rsid w:val="00E21545"/>
    <w:rsid w:val="00E2246F"/>
    <w:rsid w:val="00E2287B"/>
    <w:rsid w:val="00E27FCA"/>
    <w:rsid w:val="00E31315"/>
    <w:rsid w:val="00E32A02"/>
    <w:rsid w:val="00E33A13"/>
    <w:rsid w:val="00E33D85"/>
    <w:rsid w:val="00E359F9"/>
    <w:rsid w:val="00E36981"/>
    <w:rsid w:val="00E36D1A"/>
    <w:rsid w:val="00E37B75"/>
    <w:rsid w:val="00E407F0"/>
    <w:rsid w:val="00E41BC4"/>
    <w:rsid w:val="00E42C70"/>
    <w:rsid w:val="00E44212"/>
    <w:rsid w:val="00E44345"/>
    <w:rsid w:val="00E4552E"/>
    <w:rsid w:val="00E4713E"/>
    <w:rsid w:val="00E516AD"/>
    <w:rsid w:val="00E5315A"/>
    <w:rsid w:val="00E53DCE"/>
    <w:rsid w:val="00E54D4E"/>
    <w:rsid w:val="00E550D9"/>
    <w:rsid w:val="00E57F0A"/>
    <w:rsid w:val="00E605B7"/>
    <w:rsid w:val="00E6076E"/>
    <w:rsid w:val="00E62044"/>
    <w:rsid w:val="00E622C3"/>
    <w:rsid w:val="00E62B8C"/>
    <w:rsid w:val="00E63119"/>
    <w:rsid w:val="00E6408A"/>
    <w:rsid w:val="00E6414A"/>
    <w:rsid w:val="00E65B2E"/>
    <w:rsid w:val="00E65C92"/>
    <w:rsid w:val="00E67725"/>
    <w:rsid w:val="00E71021"/>
    <w:rsid w:val="00E711E6"/>
    <w:rsid w:val="00E71C3E"/>
    <w:rsid w:val="00E722A7"/>
    <w:rsid w:val="00E738EE"/>
    <w:rsid w:val="00E76064"/>
    <w:rsid w:val="00E77E7D"/>
    <w:rsid w:val="00E82EC0"/>
    <w:rsid w:val="00E855E9"/>
    <w:rsid w:val="00E858A6"/>
    <w:rsid w:val="00E85D68"/>
    <w:rsid w:val="00E86FC6"/>
    <w:rsid w:val="00E877CC"/>
    <w:rsid w:val="00E90223"/>
    <w:rsid w:val="00E90546"/>
    <w:rsid w:val="00E90B8A"/>
    <w:rsid w:val="00E932A2"/>
    <w:rsid w:val="00E94465"/>
    <w:rsid w:val="00E972D4"/>
    <w:rsid w:val="00EA02D8"/>
    <w:rsid w:val="00EA06E8"/>
    <w:rsid w:val="00EA0FC3"/>
    <w:rsid w:val="00EA2690"/>
    <w:rsid w:val="00EA4647"/>
    <w:rsid w:val="00EA4DB8"/>
    <w:rsid w:val="00EA5093"/>
    <w:rsid w:val="00EA6FC6"/>
    <w:rsid w:val="00EB0299"/>
    <w:rsid w:val="00EB0E8B"/>
    <w:rsid w:val="00EB1128"/>
    <w:rsid w:val="00EB1C63"/>
    <w:rsid w:val="00EB260E"/>
    <w:rsid w:val="00EB3BCD"/>
    <w:rsid w:val="00EB4A20"/>
    <w:rsid w:val="00EB641A"/>
    <w:rsid w:val="00EB748D"/>
    <w:rsid w:val="00EB76E0"/>
    <w:rsid w:val="00EC0F48"/>
    <w:rsid w:val="00EC31A5"/>
    <w:rsid w:val="00EC455C"/>
    <w:rsid w:val="00EC57B4"/>
    <w:rsid w:val="00EC616C"/>
    <w:rsid w:val="00EC6D62"/>
    <w:rsid w:val="00ED03DD"/>
    <w:rsid w:val="00ED1574"/>
    <w:rsid w:val="00ED441A"/>
    <w:rsid w:val="00ED45C3"/>
    <w:rsid w:val="00ED4D1B"/>
    <w:rsid w:val="00ED594F"/>
    <w:rsid w:val="00ED6051"/>
    <w:rsid w:val="00ED619E"/>
    <w:rsid w:val="00ED6EAE"/>
    <w:rsid w:val="00EE2019"/>
    <w:rsid w:val="00EE341D"/>
    <w:rsid w:val="00EE637C"/>
    <w:rsid w:val="00EE6764"/>
    <w:rsid w:val="00EE68FA"/>
    <w:rsid w:val="00EE6A3A"/>
    <w:rsid w:val="00EF1CCA"/>
    <w:rsid w:val="00EF36B1"/>
    <w:rsid w:val="00EF4E3D"/>
    <w:rsid w:val="00EF7C99"/>
    <w:rsid w:val="00EF7CFD"/>
    <w:rsid w:val="00F003D4"/>
    <w:rsid w:val="00F035EA"/>
    <w:rsid w:val="00F04ADD"/>
    <w:rsid w:val="00F05705"/>
    <w:rsid w:val="00F057D8"/>
    <w:rsid w:val="00F06095"/>
    <w:rsid w:val="00F11D10"/>
    <w:rsid w:val="00F11F78"/>
    <w:rsid w:val="00F14FAA"/>
    <w:rsid w:val="00F1511B"/>
    <w:rsid w:val="00F15E9E"/>
    <w:rsid w:val="00F16898"/>
    <w:rsid w:val="00F1783D"/>
    <w:rsid w:val="00F20316"/>
    <w:rsid w:val="00F20FD7"/>
    <w:rsid w:val="00F2226E"/>
    <w:rsid w:val="00F22A43"/>
    <w:rsid w:val="00F2349A"/>
    <w:rsid w:val="00F238C0"/>
    <w:rsid w:val="00F2393D"/>
    <w:rsid w:val="00F24492"/>
    <w:rsid w:val="00F247F3"/>
    <w:rsid w:val="00F256A5"/>
    <w:rsid w:val="00F27862"/>
    <w:rsid w:val="00F31BA3"/>
    <w:rsid w:val="00F32228"/>
    <w:rsid w:val="00F324C4"/>
    <w:rsid w:val="00F331C7"/>
    <w:rsid w:val="00F35E5B"/>
    <w:rsid w:val="00F36709"/>
    <w:rsid w:val="00F36F0B"/>
    <w:rsid w:val="00F3737F"/>
    <w:rsid w:val="00F4012C"/>
    <w:rsid w:val="00F402F5"/>
    <w:rsid w:val="00F4113C"/>
    <w:rsid w:val="00F4139E"/>
    <w:rsid w:val="00F43CDE"/>
    <w:rsid w:val="00F45D57"/>
    <w:rsid w:val="00F50597"/>
    <w:rsid w:val="00F505F1"/>
    <w:rsid w:val="00F5251F"/>
    <w:rsid w:val="00F548FE"/>
    <w:rsid w:val="00F55245"/>
    <w:rsid w:val="00F57A59"/>
    <w:rsid w:val="00F6049D"/>
    <w:rsid w:val="00F61AA0"/>
    <w:rsid w:val="00F645BF"/>
    <w:rsid w:val="00F64825"/>
    <w:rsid w:val="00F64C3F"/>
    <w:rsid w:val="00F6588B"/>
    <w:rsid w:val="00F66238"/>
    <w:rsid w:val="00F66A64"/>
    <w:rsid w:val="00F67649"/>
    <w:rsid w:val="00F70859"/>
    <w:rsid w:val="00F710AF"/>
    <w:rsid w:val="00F71607"/>
    <w:rsid w:val="00F721AE"/>
    <w:rsid w:val="00F73463"/>
    <w:rsid w:val="00F738B2"/>
    <w:rsid w:val="00F73976"/>
    <w:rsid w:val="00F77078"/>
    <w:rsid w:val="00F7775C"/>
    <w:rsid w:val="00F81FC9"/>
    <w:rsid w:val="00F83222"/>
    <w:rsid w:val="00F913A9"/>
    <w:rsid w:val="00F92527"/>
    <w:rsid w:val="00F92ED3"/>
    <w:rsid w:val="00F935AE"/>
    <w:rsid w:val="00F9371B"/>
    <w:rsid w:val="00F93C33"/>
    <w:rsid w:val="00F93E0A"/>
    <w:rsid w:val="00F9632D"/>
    <w:rsid w:val="00F9775B"/>
    <w:rsid w:val="00F97956"/>
    <w:rsid w:val="00FA1E8B"/>
    <w:rsid w:val="00FA2519"/>
    <w:rsid w:val="00FA461A"/>
    <w:rsid w:val="00FA67E8"/>
    <w:rsid w:val="00FA7288"/>
    <w:rsid w:val="00FA76F6"/>
    <w:rsid w:val="00FB30E3"/>
    <w:rsid w:val="00FB659B"/>
    <w:rsid w:val="00FB7338"/>
    <w:rsid w:val="00FC084D"/>
    <w:rsid w:val="00FC2226"/>
    <w:rsid w:val="00FC3602"/>
    <w:rsid w:val="00FC3730"/>
    <w:rsid w:val="00FC6894"/>
    <w:rsid w:val="00FC6A0D"/>
    <w:rsid w:val="00FC7C77"/>
    <w:rsid w:val="00FD1186"/>
    <w:rsid w:val="00FD1E39"/>
    <w:rsid w:val="00FE1FD3"/>
    <w:rsid w:val="00FE3107"/>
    <w:rsid w:val="00FE3299"/>
    <w:rsid w:val="00FE4335"/>
    <w:rsid w:val="00FE74B0"/>
    <w:rsid w:val="00FE7C4E"/>
    <w:rsid w:val="00FF2BD2"/>
    <w:rsid w:val="00FF2D95"/>
    <w:rsid w:val="00FF3833"/>
    <w:rsid w:val="00FF3A7D"/>
    <w:rsid w:val="00FF43F2"/>
    <w:rsid w:val="00FF4E4D"/>
    <w:rsid w:val="00FF6162"/>
    <w:rsid w:val="092B5F96"/>
    <w:rsid w:val="0CB573FE"/>
    <w:rsid w:val="105A7962"/>
    <w:rsid w:val="10AC13BA"/>
    <w:rsid w:val="11B50684"/>
    <w:rsid w:val="179FF83C"/>
    <w:rsid w:val="183F6000"/>
    <w:rsid w:val="18687698"/>
    <w:rsid w:val="196C14C4"/>
    <w:rsid w:val="19C35321"/>
    <w:rsid w:val="1F7B60D8"/>
    <w:rsid w:val="1F7F739A"/>
    <w:rsid w:val="26FA2AFF"/>
    <w:rsid w:val="27636CAC"/>
    <w:rsid w:val="2B9E3B1D"/>
    <w:rsid w:val="2DDFAA91"/>
    <w:rsid w:val="2FD92204"/>
    <w:rsid w:val="34BA3226"/>
    <w:rsid w:val="3665184D"/>
    <w:rsid w:val="37DFF0F6"/>
    <w:rsid w:val="391D7BDF"/>
    <w:rsid w:val="39BE3185"/>
    <w:rsid w:val="3BEF6C22"/>
    <w:rsid w:val="40030A15"/>
    <w:rsid w:val="40D048E5"/>
    <w:rsid w:val="4220550C"/>
    <w:rsid w:val="427D2022"/>
    <w:rsid w:val="44E12B11"/>
    <w:rsid w:val="47861D61"/>
    <w:rsid w:val="47EE4D13"/>
    <w:rsid w:val="48847404"/>
    <w:rsid w:val="4A1A65A1"/>
    <w:rsid w:val="4BDE15D9"/>
    <w:rsid w:val="4E44488A"/>
    <w:rsid w:val="56B20933"/>
    <w:rsid w:val="599A4AE5"/>
    <w:rsid w:val="5C297741"/>
    <w:rsid w:val="5C7F0150"/>
    <w:rsid w:val="5DD94F09"/>
    <w:rsid w:val="5DFB763C"/>
    <w:rsid w:val="5E712AFE"/>
    <w:rsid w:val="5E9C5470"/>
    <w:rsid w:val="5ECD7994"/>
    <w:rsid w:val="5ED32C67"/>
    <w:rsid w:val="6363332A"/>
    <w:rsid w:val="6775EAAB"/>
    <w:rsid w:val="68FF73BC"/>
    <w:rsid w:val="69F7472C"/>
    <w:rsid w:val="69FF6F52"/>
    <w:rsid w:val="6ADD7FA8"/>
    <w:rsid w:val="6F275FEB"/>
    <w:rsid w:val="73861D97"/>
    <w:rsid w:val="75F47B98"/>
    <w:rsid w:val="76F91B79"/>
    <w:rsid w:val="775FEFD8"/>
    <w:rsid w:val="77BFE954"/>
    <w:rsid w:val="7C7F676C"/>
    <w:rsid w:val="7DD91380"/>
    <w:rsid w:val="7F5EC932"/>
    <w:rsid w:val="7F778FFA"/>
    <w:rsid w:val="7FBE7E92"/>
    <w:rsid w:val="7FCE3628"/>
    <w:rsid w:val="7FD81A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5F17A7D6-5E83-4E18-8748-F0902E078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iPriority="99"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iPriority="99"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iPriority="3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588" w:lineRule="exact"/>
      <w:ind w:firstLineChars="200" w:firstLine="600"/>
      <w:jc w:val="both"/>
      <w:textAlignment w:val="center"/>
    </w:pPr>
    <w:rPr>
      <w:rFonts w:eastAsia="方正仿宋_GBK"/>
      <w:kern w:val="2"/>
      <w:sz w:val="30"/>
      <w:szCs w:val="30"/>
    </w:rPr>
  </w:style>
  <w:style w:type="paragraph" w:styleId="1">
    <w:name w:val="heading 1"/>
    <w:basedOn w:val="a"/>
    <w:next w:val="a"/>
    <w:qFormat/>
    <w:pPr>
      <w:ind w:left="600" w:firstLineChars="0" w:firstLine="0"/>
      <w:outlineLvl w:val="0"/>
    </w:pPr>
    <w:rPr>
      <w:rFonts w:ascii="黑体" w:eastAsia="黑体"/>
    </w:rPr>
  </w:style>
  <w:style w:type="paragraph" w:styleId="2">
    <w:name w:val="heading 2"/>
    <w:basedOn w:val="a"/>
    <w:next w:val="a"/>
    <w:link w:val="20"/>
    <w:qFormat/>
    <w:pPr>
      <w:outlineLvl w:val="1"/>
    </w:pPr>
    <w:rPr>
      <w:rFonts w:ascii="方正楷体_GBK" w:eastAsia="方正楷体_GBK"/>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
    <w:qFormat/>
    <w:pPr>
      <w:spacing w:line="240" w:lineRule="auto"/>
      <w:ind w:firstLine="420"/>
      <w:textAlignment w:val="auto"/>
    </w:pPr>
    <w:rPr>
      <w:rFonts w:eastAsia="仿宋_GB2312"/>
      <w:sz w:val="32"/>
      <w:szCs w:val="24"/>
    </w:rPr>
  </w:style>
  <w:style w:type="paragraph" w:styleId="a4">
    <w:name w:val="Document Map"/>
    <w:basedOn w:val="a"/>
    <w:link w:val="a5"/>
    <w:qFormat/>
    <w:rPr>
      <w:rFonts w:ascii="宋体" w:eastAsia="宋体"/>
      <w:sz w:val="18"/>
      <w:szCs w:val="18"/>
    </w:rPr>
  </w:style>
  <w:style w:type="paragraph" w:styleId="a6">
    <w:name w:val="annotation text"/>
    <w:basedOn w:val="a"/>
    <w:link w:val="a7"/>
    <w:uiPriority w:val="99"/>
    <w:qFormat/>
    <w:pPr>
      <w:jc w:val="left"/>
    </w:pPr>
  </w:style>
  <w:style w:type="paragraph" w:styleId="a8">
    <w:name w:val="Body Text"/>
    <w:basedOn w:val="a"/>
    <w:link w:val="a9"/>
    <w:uiPriority w:val="99"/>
    <w:unhideWhenUsed/>
    <w:qFormat/>
    <w:pPr>
      <w:spacing w:after="120"/>
    </w:pPr>
  </w:style>
  <w:style w:type="paragraph" w:styleId="aa">
    <w:name w:val="Body Text Indent"/>
    <w:basedOn w:val="a"/>
    <w:link w:val="ab"/>
    <w:qFormat/>
    <w:pPr>
      <w:spacing w:after="120"/>
      <w:ind w:leftChars="200" w:left="420"/>
    </w:pPr>
  </w:style>
  <w:style w:type="paragraph" w:styleId="3">
    <w:name w:val="toc 3"/>
    <w:basedOn w:val="a"/>
    <w:next w:val="a"/>
    <w:uiPriority w:val="39"/>
    <w:unhideWhenUsed/>
    <w:qFormat/>
    <w:pPr>
      <w:widowControl/>
      <w:spacing w:after="100" w:line="259" w:lineRule="auto"/>
      <w:ind w:left="440" w:firstLineChars="0" w:firstLine="0"/>
      <w:jc w:val="left"/>
      <w:textAlignment w:val="auto"/>
    </w:pPr>
    <w:rPr>
      <w:rFonts w:ascii="等线" w:eastAsia="等线" w:hAnsi="等线"/>
      <w:kern w:val="0"/>
      <w:sz w:val="22"/>
      <w:szCs w:val="22"/>
    </w:rPr>
  </w:style>
  <w:style w:type="paragraph" w:styleId="ac">
    <w:name w:val="Plain Text"/>
    <w:basedOn w:val="a"/>
    <w:next w:val="a"/>
    <w:link w:val="ad"/>
    <w:qFormat/>
    <w:pPr>
      <w:adjustRightInd w:val="0"/>
      <w:snapToGrid w:val="0"/>
    </w:pPr>
    <w:rPr>
      <w:rFonts w:ascii="宋体" w:hAnsi="Courier New" w:cs="Courier New"/>
      <w:sz w:val="24"/>
      <w:szCs w:val="21"/>
    </w:rPr>
  </w:style>
  <w:style w:type="paragraph" w:styleId="ae">
    <w:name w:val="Balloon Text"/>
    <w:basedOn w:val="a"/>
    <w:link w:val="af"/>
    <w:qFormat/>
    <w:rPr>
      <w:rFonts w:eastAsia="宋体"/>
      <w:sz w:val="18"/>
      <w:szCs w:val="18"/>
    </w:rPr>
  </w:style>
  <w:style w:type="paragraph" w:styleId="af0">
    <w:name w:val="footer"/>
    <w:basedOn w:val="a"/>
    <w:link w:val="af1"/>
    <w:uiPriority w:val="99"/>
    <w:qFormat/>
    <w:pPr>
      <w:tabs>
        <w:tab w:val="center" w:pos="4153"/>
        <w:tab w:val="right" w:pos="8306"/>
      </w:tabs>
      <w:snapToGrid w:val="0"/>
      <w:jc w:val="left"/>
    </w:pPr>
    <w:rPr>
      <w:rFonts w:eastAsia="宋体"/>
      <w:sz w:val="18"/>
      <w:szCs w:val="18"/>
    </w:rPr>
  </w:style>
  <w:style w:type="paragraph" w:styleId="af2">
    <w:name w:val="header"/>
    <w:basedOn w:val="a"/>
    <w:link w:val="af3"/>
    <w:qFormat/>
    <w:pPr>
      <w:pBdr>
        <w:bottom w:val="single" w:sz="6" w:space="1" w:color="auto"/>
      </w:pBdr>
      <w:tabs>
        <w:tab w:val="center" w:pos="4153"/>
        <w:tab w:val="right" w:pos="8306"/>
      </w:tabs>
      <w:snapToGrid w:val="0"/>
      <w:jc w:val="center"/>
    </w:pPr>
    <w:rPr>
      <w:rFonts w:eastAsia="宋体"/>
      <w:sz w:val="18"/>
      <w:szCs w:val="18"/>
    </w:rPr>
  </w:style>
  <w:style w:type="paragraph" w:styleId="10">
    <w:name w:val="toc 1"/>
    <w:basedOn w:val="a"/>
    <w:next w:val="a"/>
    <w:uiPriority w:val="39"/>
    <w:qFormat/>
  </w:style>
  <w:style w:type="paragraph" w:styleId="af4">
    <w:name w:val="Subtitle"/>
    <w:basedOn w:val="a"/>
    <w:next w:val="a"/>
    <w:link w:val="af5"/>
    <w:qFormat/>
    <w:pPr>
      <w:snapToGrid w:val="0"/>
      <w:spacing w:line="520" w:lineRule="exact"/>
      <w:ind w:firstLine="640"/>
      <w:jc w:val="center"/>
      <w:outlineLvl w:val="3"/>
    </w:pPr>
    <w:rPr>
      <w:rFonts w:eastAsia="黑体"/>
      <w:bCs/>
      <w:color w:val="000000"/>
      <w:sz w:val="32"/>
      <w:szCs w:val="32"/>
    </w:rPr>
  </w:style>
  <w:style w:type="paragraph" w:styleId="21">
    <w:name w:val="toc 2"/>
    <w:basedOn w:val="a"/>
    <w:next w:val="a"/>
    <w:uiPriority w:val="39"/>
    <w:qFormat/>
    <w:pPr>
      <w:tabs>
        <w:tab w:val="left" w:pos="1730"/>
        <w:tab w:val="right" w:leader="dot" w:pos="8948"/>
      </w:tabs>
      <w:ind w:leftChars="200" w:left="600"/>
    </w:pPr>
  </w:style>
  <w:style w:type="paragraph" w:styleId="af6">
    <w:name w:val="Normal (Web)"/>
    <w:basedOn w:val="a"/>
    <w:uiPriority w:val="99"/>
    <w:unhideWhenUsed/>
    <w:qFormat/>
    <w:pPr>
      <w:widowControl/>
      <w:spacing w:before="100" w:beforeAutospacing="1" w:after="100" w:afterAutospacing="1" w:line="240" w:lineRule="auto"/>
      <w:ind w:firstLineChars="0" w:firstLine="0"/>
      <w:jc w:val="left"/>
      <w:textAlignment w:val="auto"/>
    </w:pPr>
    <w:rPr>
      <w:rFonts w:ascii="宋体" w:eastAsia="宋体" w:hAnsi="宋体" w:cs="宋体"/>
      <w:kern w:val="0"/>
      <w:sz w:val="24"/>
      <w:szCs w:val="24"/>
    </w:rPr>
  </w:style>
  <w:style w:type="paragraph" w:styleId="af7">
    <w:name w:val="Title"/>
    <w:basedOn w:val="a"/>
    <w:next w:val="a"/>
    <w:link w:val="af8"/>
    <w:qFormat/>
    <w:pPr>
      <w:spacing w:line="580" w:lineRule="exact"/>
      <w:ind w:firstLine="880"/>
      <w:jc w:val="center"/>
    </w:pPr>
    <w:rPr>
      <w:rFonts w:eastAsia="黑体"/>
      <w:color w:val="000000"/>
      <w:sz w:val="44"/>
      <w:szCs w:val="44"/>
    </w:rPr>
  </w:style>
  <w:style w:type="paragraph" w:styleId="af9">
    <w:name w:val="annotation subject"/>
    <w:basedOn w:val="a6"/>
    <w:next w:val="a6"/>
    <w:link w:val="afa"/>
    <w:qFormat/>
    <w:rPr>
      <w:b/>
      <w:bCs/>
    </w:rPr>
  </w:style>
  <w:style w:type="paragraph" w:styleId="afb">
    <w:name w:val="Body Text First Indent"/>
    <w:basedOn w:val="a8"/>
    <w:link w:val="afc"/>
    <w:qFormat/>
    <w:pPr>
      <w:ind w:firstLineChars="100" w:firstLine="420"/>
    </w:pPr>
  </w:style>
  <w:style w:type="table" w:styleId="afd">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Strong"/>
    <w:basedOn w:val="a0"/>
    <w:qFormat/>
    <w:rPr>
      <w:b/>
    </w:rPr>
  </w:style>
  <w:style w:type="character" w:styleId="aff">
    <w:name w:val="page number"/>
    <w:qFormat/>
  </w:style>
  <w:style w:type="character" w:styleId="aff0">
    <w:name w:val="Hyperlink"/>
    <w:uiPriority w:val="99"/>
    <w:unhideWhenUsed/>
    <w:qFormat/>
    <w:rPr>
      <w:color w:val="0563C1"/>
      <w:u w:val="single"/>
    </w:rPr>
  </w:style>
  <w:style w:type="character" w:styleId="aff1">
    <w:name w:val="annotation reference"/>
    <w:uiPriority w:val="99"/>
    <w:qFormat/>
    <w:rPr>
      <w:sz w:val="21"/>
      <w:szCs w:val="21"/>
    </w:rPr>
  </w:style>
  <w:style w:type="character" w:customStyle="1" w:styleId="a5">
    <w:name w:val="文档结构图 字符"/>
    <w:link w:val="a4"/>
    <w:qFormat/>
    <w:rPr>
      <w:rFonts w:ascii="宋体"/>
      <w:kern w:val="2"/>
      <w:sz w:val="18"/>
      <w:szCs w:val="18"/>
    </w:rPr>
  </w:style>
  <w:style w:type="character" w:customStyle="1" w:styleId="af">
    <w:name w:val="批注框文本 字符"/>
    <w:link w:val="ae"/>
    <w:qFormat/>
    <w:rPr>
      <w:kern w:val="2"/>
      <w:sz w:val="18"/>
      <w:szCs w:val="18"/>
    </w:rPr>
  </w:style>
  <w:style w:type="character" w:customStyle="1" w:styleId="af1">
    <w:name w:val="页脚 字符"/>
    <w:link w:val="af0"/>
    <w:uiPriority w:val="99"/>
    <w:qFormat/>
    <w:rPr>
      <w:kern w:val="2"/>
      <w:sz w:val="18"/>
      <w:szCs w:val="18"/>
    </w:rPr>
  </w:style>
  <w:style w:type="character" w:customStyle="1" w:styleId="af3">
    <w:name w:val="页眉 字符"/>
    <w:link w:val="af2"/>
    <w:qFormat/>
    <w:rPr>
      <w:kern w:val="2"/>
      <w:sz w:val="18"/>
      <w:szCs w:val="18"/>
    </w:rPr>
  </w:style>
  <w:style w:type="paragraph" w:customStyle="1" w:styleId="CharCharCharCharCharCharCharCharCharChar">
    <w:name w:val="Char Char Char Char Char Char Char Char Char Char"/>
    <w:basedOn w:val="a"/>
    <w:qFormat/>
    <w:pPr>
      <w:spacing w:line="360" w:lineRule="auto"/>
      <w:ind w:firstLine="200"/>
    </w:pPr>
    <w:rPr>
      <w:rFonts w:ascii="宋体" w:hAnsi="宋体" w:cs="宋体"/>
      <w:sz w:val="24"/>
      <w:szCs w:val="24"/>
    </w:rPr>
  </w:style>
  <w:style w:type="paragraph" w:customStyle="1" w:styleId="zw1">
    <w:name w:val="zw1"/>
    <w:basedOn w:val="a"/>
    <w:qFormat/>
    <w:pPr>
      <w:spacing w:line="580" w:lineRule="exact"/>
      <w:ind w:firstLine="200"/>
    </w:pPr>
    <w:rPr>
      <w:rFonts w:eastAsia="仿宋_GB2312"/>
      <w:sz w:val="32"/>
      <w:szCs w:val="24"/>
    </w:rPr>
  </w:style>
  <w:style w:type="paragraph" w:customStyle="1" w:styleId="bt1">
    <w:name w:val="bt1"/>
    <w:basedOn w:val="1"/>
    <w:qFormat/>
    <w:pPr>
      <w:spacing w:line="580" w:lineRule="exact"/>
      <w:jc w:val="center"/>
    </w:pPr>
    <w:rPr>
      <w:b/>
    </w:rPr>
  </w:style>
  <w:style w:type="paragraph" w:customStyle="1" w:styleId="bt2">
    <w:name w:val="bt2"/>
    <w:basedOn w:val="2"/>
    <w:qFormat/>
    <w:pPr>
      <w:ind w:firstLine="200"/>
    </w:pPr>
    <w:rPr>
      <w:b/>
    </w:rPr>
  </w:style>
  <w:style w:type="paragraph" w:customStyle="1" w:styleId="CharCharCharChar1Char">
    <w:name w:val="Char Char Char Char1 Char"/>
    <w:basedOn w:val="a"/>
    <w:qFormat/>
    <w:pPr>
      <w:spacing w:line="360" w:lineRule="auto"/>
      <w:ind w:firstLine="200"/>
    </w:pPr>
    <w:rPr>
      <w:rFonts w:ascii="宋体" w:hAnsi="宋体" w:cs="宋体"/>
      <w:sz w:val="24"/>
      <w:szCs w:val="24"/>
    </w:rPr>
  </w:style>
  <w:style w:type="paragraph" w:customStyle="1" w:styleId="CharCharCharCharCharCharChar">
    <w:name w:val="Char Char Char Char Char Char Char"/>
    <w:basedOn w:val="a"/>
    <w:qFormat/>
    <w:pPr>
      <w:spacing w:line="360" w:lineRule="auto"/>
      <w:ind w:firstLine="200"/>
    </w:pPr>
    <w:rPr>
      <w:rFonts w:ascii="宋体" w:hAnsi="宋体" w:cs="宋体"/>
      <w:sz w:val="24"/>
      <w:szCs w:val="24"/>
    </w:rPr>
  </w:style>
  <w:style w:type="character" w:customStyle="1" w:styleId="af8">
    <w:name w:val="标题 字符"/>
    <w:link w:val="af7"/>
    <w:qFormat/>
    <w:rPr>
      <w:rFonts w:eastAsia="黑体"/>
      <w:color w:val="000000"/>
      <w:kern w:val="2"/>
      <w:sz w:val="44"/>
      <w:szCs w:val="44"/>
    </w:rPr>
  </w:style>
  <w:style w:type="character" w:customStyle="1" w:styleId="af5">
    <w:name w:val="副标题 字符"/>
    <w:link w:val="af4"/>
    <w:qFormat/>
    <w:rPr>
      <w:rFonts w:eastAsia="黑体"/>
      <w:bCs/>
      <w:color w:val="000000"/>
      <w:kern w:val="2"/>
      <w:sz w:val="32"/>
      <w:szCs w:val="32"/>
    </w:rPr>
  </w:style>
  <w:style w:type="paragraph" w:styleId="aff2">
    <w:name w:val="List Paragraph"/>
    <w:basedOn w:val="a"/>
    <w:link w:val="aff3"/>
    <w:uiPriority w:val="34"/>
    <w:qFormat/>
    <w:pPr>
      <w:ind w:firstLine="420"/>
      <w:textAlignment w:val="auto"/>
    </w:pPr>
    <w:rPr>
      <w:rFonts w:ascii="Calibri" w:eastAsia="宋体" w:hAnsi="Calibri"/>
      <w:szCs w:val="22"/>
    </w:rPr>
  </w:style>
  <w:style w:type="character" w:customStyle="1" w:styleId="aff3">
    <w:name w:val="列出段落 字符"/>
    <w:link w:val="aff2"/>
    <w:uiPriority w:val="34"/>
    <w:qFormat/>
    <w:rPr>
      <w:rFonts w:ascii="Calibri" w:hAnsi="Calibri"/>
      <w:kern w:val="2"/>
      <w:sz w:val="30"/>
      <w:szCs w:val="22"/>
    </w:rPr>
  </w:style>
  <w:style w:type="character" w:customStyle="1" w:styleId="Char">
    <w:name w:val="列出段落 Char"/>
    <w:uiPriority w:val="34"/>
    <w:qFormat/>
    <w:rPr>
      <w:kern w:val="2"/>
      <w:sz w:val="30"/>
      <w:szCs w:val="22"/>
    </w:rPr>
  </w:style>
  <w:style w:type="paragraph" w:customStyle="1" w:styleId="11">
    <w:name w:val="修订1"/>
    <w:hidden/>
    <w:uiPriority w:val="99"/>
    <w:unhideWhenUsed/>
    <w:qFormat/>
    <w:rPr>
      <w:rFonts w:eastAsia="方正仿宋_GBK"/>
      <w:kern w:val="2"/>
      <w:sz w:val="30"/>
      <w:szCs w:val="30"/>
    </w:rPr>
  </w:style>
  <w:style w:type="character" w:customStyle="1" w:styleId="20">
    <w:name w:val="标题 2 字符"/>
    <w:link w:val="2"/>
    <w:qFormat/>
    <w:rPr>
      <w:rFonts w:ascii="方正楷体_GBK" w:eastAsia="方正楷体_GBK"/>
      <w:kern w:val="2"/>
      <w:sz w:val="30"/>
      <w:szCs w:val="30"/>
    </w:rPr>
  </w:style>
  <w:style w:type="character" w:customStyle="1" w:styleId="fontstyle01">
    <w:name w:val="fontstyle01"/>
    <w:qFormat/>
    <w:rPr>
      <w:rFonts w:ascii="FZKTK--GBK1-0" w:hAnsi="FZKTK--GBK1-0" w:hint="default"/>
      <w:color w:val="000000"/>
      <w:sz w:val="30"/>
      <w:szCs w:val="30"/>
    </w:rPr>
  </w:style>
  <w:style w:type="paragraph" w:customStyle="1" w:styleId="112">
    <w:name w:val="11正文首行空2格"/>
    <w:basedOn w:val="a"/>
    <w:qFormat/>
    <w:pPr>
      <w:widowControl/>
      <w:spacing w:line="520" w:lineRule="exact"/>
      <w:ind w:firstLine="420"/>
      <w:textAlignment w:val="auto"/>
    </w:pPr>
    <w:rPr>
      <w:rFonts w:ascii="Calibri" w:eastAsia="宋体" w:hAnsi="Calibri"/>
      <w:sz w:val="21"/>
      <w:szCs w:val="21"/>
    </w:rPr>
  </w:style>
  <w:style w:type="character" w:customStyle="1" w:styleId="a7">
    <w:name w:val="批注文字 字符"/>
    <w:link w:val="a6"/>
    <w:uiPriority w:val="99"/>
    <w:qFormat/>
    <w:rPr>
      <w:rFonts w:eastAsia="方正仿宋_GBK"/>
      <w:kern w:val="2"/>
      <w:sz w:val="30"/>
      <w:szCs w:val="30"/>
    </w:rPr>
  </w:style>
  <w:style w:type="character" w:customStyle="1" w:styleId="afa">
    <w:name w:val="批注主题 字符"/>
    <w:link w:val="af9"/>
    <w:qFormat/>
    <w:rPr>
      <w:rFonts w:eastAsia="方正仿宋_GBK"/>
      <w:b/>
      <w:bCs/>
      <w:kern w:val="2"/>
      <w:sz w:val="30"/>
      <w:szCs w:val="30"/>
    </w:rPr>
  </w:style>
  <w:style w:type="paragraph" w:customStyle="1" w:styleId="TOC1">
    <w:name w:val="TOC 标题1"/>
    <w:basedOn w:val="1"/>
    <w:next w:val="a"/>
    <w:uiPriority w:val="39"/>
    <w:unhideWhenUsed/>
    <w:qFormat/>
    <w:pPr>
      <w:keepNext/>
      <w:keepLines/>
      <w:widowControl/>
      <w:spacing w:before="240" w:line="259" w:lineRule="auto"/>
      <w:ind w:left="0"/>
      <w:jc w:val="left"/>
      <w:outlineLvl w:val="9"/>
    </w:pPr>
    <w:rPr>
      <w:rFonts w:ascii="等线 Light" w:eastAsia="等线 Light" w:hAnsi="等线 Light"/>
      <w:color w:val="2F5496"/>
      <w:kern w:val="0"/>
    </w:rPr>
  </w:style>
  <w:style w:type="character" w:customStyle="1" w:styleId="a9">
    <w:name w:val="正文文本 字符"/>
    <w:link w:val="a8"/>
    <w:uiPriority w:val="99"/>
    <w:qFormat/>
    <w:rPr>
      <w:rFonts w:eastAsia="方正仿宋_GBK"/>
      <w:kern w:val="2"/>
      <w:sz w:val="30"/>
      <w:szCs w:val="30"/>
    </w:rPr>
  </w:style>
  <w:style w:type="character" w:customStyle="1" w:styleId="12">
    <w:name w:val="副标题 字符1"/>
    <w:basedOn w:val="a0"/>
    <w:qFormat/>
    <w:rPr>
      <w:rFonts w:ascii="Times New Roman" w:eastAsia="黑体" w:hAnsi="Times New Roman" w:cs="Times New Roman"/>
      <w:bCs/>
      <w:color w:val="000000"/>
      <w:sz w:val="32"/>
      <w:szCs w:val="32"/>
    </w:rPr>
  </w:style>
  <w:style w:type="character" w:customStyle="1" w:styleId="ad">
    <w:name w:val="纯文本 字符"/>
    <w:basedOn w:val="a0"/>
    <w:link w:val="ac"/>
    <w:qFormat/>
    <w:rPr>
      <w:rFonts w:ascii="宋体" w:eastAsia="方正仿宋_GBK" w:hAnsi="Courier New" w:cs="Courier New"/>
      <w:kern w:val="2"/>
      <w:sz w:val="24"/>
      <w:szCs w:val="21"/>
    </w:rPr>
  </w:style>
  <w:style w:type="character" w:customStyle="1" w:styleId="afc">
    <w:name w:val="正文首行缩进 字符"/>
    <w:basedOn w:val="a9"/>
    <w:link w:val="afb"/>
    <w:qFormat/>
    <w:rPr>
      <w:rFonts w:eastAsia="方正仿宋_GBK"/>
      <w:kern w:val="2"/>
      <w:sz w:val="30"/>
      <w:szCs w:val="30"/>
    </w:rPr>
  </w:style>
  <w:style w:type="paragraph" w:customStyle="1" w:styleId="Style52">
    <w:name w:val="_Style 52"/>
    <w:basedOn w:val="a"/>
    <w:next w:val="a"/>
    <w:uiPriority w:val="39"/>
    <w:qFormat/>
    <w:pPr>
      <w:tabs>
        <w:tab w:val="left" w:pos="1730"/>
        <w:tab w:val="right" w:leader="dot" w:pos="8948"/>
      </w:tabs>
      <w:ind w:leftChars="200" w:left="600"/>
    </w:pPr>
  </w:style>
  <w:style w:type="paragraph" w:customStyle="1" w:styleId="22">
    <w:name w:val="修订2"/>
    <w:hidden/>
    <w:uiPriority w:val="99"/>
    <w:semiHidden/>
    <w:qFormat/>
    <w:rPr>
      <w:rFonts w:eastAsia="方正仿宋_GBK"/>
      <w:kern w:val="2"/>
      <w:sz w:val="30"/>
      <w:szCs w:val="30"/>
    </w:rPr>
  </w:style>
  <w:style w:type="character" w:customStyle="1" w:styleId="ab">
    <w:name w:val="正文文本缩进 字符"/>
    <w:basedOn w:val="a0"/>
    <w:link w:val="aa"/>
    <w:qFormat/>
    <w:rPr>
      <w:rFonts w:eastAsia="方正仿宋_GBK"/>
      <w:kern w:val="2"/>
      <w:sz w:val="30"/>
      <w:szCs w:val="30"/>
    </w:rPr>
  </w:style>
  <w:style w:type="paragraph" w:customStyle="1" w:styleId="aff4">
    <w:name w:val="正文部分"/>
    <w:basedOn w:val="a"/>
    <w:qFormat/>
    <w:pPr>
      <w:spacing w:line="240" w:lineRule="auto"/>
      <w:ind w:firstLine="560"/>
      <w:textAlignment w:val="auto"/>
    </w:pPr>
    <w:rPr>
      <w:rFonts w:ascii="仿宋" w:eastAsia="仿宋" w:hAnsi="仿宋" w:cs="宋体"/>
      <w:color w:val="000000"/>
      <w:sz w:val="28"/>
      <w:szCs w:val="28"/>
    </w:rPr>
  </w:style>
  <w:style w:type="paragraph" w:customStyle="1" w:styleId="30">
    <w:name w:val="修订3"/>
    <w:hidden/>
    <w:uiPriority w:val="99"/>
    <w:semiHidden/>
    <w:qFormat/>
    <w:rPr>
      <w:rFonts w:eastAsia="方正仿宋_GBK"/>
      <w:kern w:val="2"/>
      <w:sz w:val="30"/>
      <w:szCs w:val="30"/>
    </w:rPr>
  </w:style>
  <w:style w:type="paragraph" w:customStyle="1" w:styleId="4">
    <w:name w:val="修订4"/>
    <w:hidden/>
    <w:uiPriority w:val="99"/>
    <w:semiHidden/>
    <w:qFormat/>
    <w:rPr>
      <w:rFonts w:eastAsia="方正仿宋_GBK"/>
      <w:kern w:val="2"/>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2677</Words>
  <Characters>15260</Characters>
  <Application>Microsoft Office Word</Application>
  <DocSecurity>0</DocSecurity>
  <Lines>127</Lines>
  <Paragraphs>35</Paragraphs>
  <ScaleCrop>false</ScaleCrop>
  <Company>Lenovo (Beijing) Limited</Company>
  <LinksUpToDate>false</LinksUpToDate>
  <CharactersWithSpaces>17902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天津市发展和改革委员会文件</dc:title>
  <dc:creator>Lenovo User</dc:creator>
  <cp:lastModifiedBy>微软用户</cp:lastModifiedBy>
  <cp:revision>2</cp:revision>
  <cp:lastPrinted>2023-06-27T15:22:00Z</cp:lastPrinted>
  <dcterms:created xsi:type="dcterms:W3CDTF">2023-07-04T03:33:00Z</dcterms:created>
  <dcterms:modified xsi:type="dcterms:W3CDTF">2023-07-04T03:33:00Z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00AE9DC73D5786C3C9019964B0D74E2D</vt:lpwstr>
  </property>
</Properties>
</file>