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近日，山西忻州五台县人民政府办公室关于印发五台县2023年冬季清洁取暖工作实施方案的通知明确，全县2023年度清洁取暖总任务为3966户，其中集中供热2001户，“煤改电”1965户。</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将清洁取暖工作与城乡基础设施建设和乡村振兴工作有机结合，城镇、县城、城边村等居住集中的地区重点发展超低排放锅炉集中供暖，农村地区坚持“以供定改、先立后破”，稳妥推进“煤改电”供暖，新实施的清洁取暖“煤改电”项目，未经过一个采暖</w:t>
      </w:r>
      <w:proofErr w:type="gramStart"/>
      <w:r w:rsidRPr="00CD7CBA">
        <w:rPr>
          <w:rFonts w:asciiTheme="majorEastAsia" w:eastAsiaTheme="majorEastAsia" w:hAnsiTheme="majorEastAsia" w:cs="仿宋" w:hint="eastAsia"/>
          <w:sz w:val="28"/>
          <w:szCs w:val="28"/>
        </w:rPr>
        <w:t>季稳定</w:t>
      </w:r>
      <w:proofErr w:type="gramEnd"/>
      <w:r w:rsidRPr="00CD7CBA">
        <w:rPr>
          <w:rFonts w:asciiTheme="majorEastAsia" w:eastAsiaTheme="majorEastAsia" w:hAnsiTheme="majorEastAsia" w:cs="仿宋" w:hint="eastAsia"/>
          <w:sz w:val="28"/>
          <w:szCs w:val="28"/>
        </w:rPr>
        <w:t>运行的，绝不允许拆除原有供暖设施，坚决杜绝强行“封火炕、拆暖炉、没收煤炭”等一刀切问题发生。根据资源禀赋，合理发展太阳能等可再生能源供热，鼓励利用多种能源互补方式供热，适当利用集中供暖延伸覆盖。在农村边远地区确不具备清洁取暖改造条件的，推广“洁净煤+环保炉具”“生物质成型燃料+专用炉具”等方式，保障居民温暖过冬。</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jc w:val="center"/>
        <w:rPr>
          <w:rFonts w:asciiTheme="majorEastAsia" w:eastAsiaTheme="majorEastAsia" w:hAnsiTheme="majorEastAsia" w:cs="仿宋" w:hint="eastAsia"/>
          <w:b/>
          <w:sz w:val="28"/>
          <w:szCs w:val="28"/>
        </w:rPr>
      </w:pPr>
      <w:r w:rsidRPr="00CD7CBA">
        <w:rPr>
          <w:rFonts w:asciiTheme="majorEastAsia" w:eastAsiaTheme="majorEastAsia" w:hAnsiTheme="majorEastAsia" w:cs="仿宋" w:hint="eastAsia"/>
          <w:b/>
          <w:sz w:val="28"/>
          <w:szCs w:val="28"/>
        </w:rPr>
        <w:t>五台县人民政府办公室关于印发</w:t>
      </w:r>
      <w:bookmarkStart w:id="0" w:name="_GoBack"/>
      <w:r w:rsidRPr="00CD7CBA">
        <w:rPr>
          <w:rFonts w:asciiTheme="majorEastAsia" w:eastAsiaTheme="majorEastAsia" w:hAnsiTheme="majorEastAsia" w:cs="仿宋" w:hint="eastAsia"/>
          <w:b/>
          <w:sz w:val="28"/>
          <w:szCs w:val="28"/>
        </w:rPr>
        <w:t>五台县2023年冬季清洁取暖工作实施方案</w:t>
      </w:r>
      <w:bookmarkEnd w:id="0"/>
      <w:r w:rsidRPr="00CD7CBA">
        <w:rPr>
          <w:rFonts w:asciiTheme="majorEastAsia" w:eastAsiaTheme="majorEastAsia" w:hAnsiTheme="majorEastAsia" w:cs="仿宋" w:hint="eastAsia"/>
          <w:b/>
          <w:sz w:val="28"/>
          <w:szCs w:val="28"/>
        </w:rPr>
        <w:t>的通知</w:t>
      </w:r>
    </w:p>
    <w:p w:rsidR="00CD7CBA" w:rsidRPr="00CD7CBA" w:rsidRDefault="00CD7CBA" w:rsidP="00CD7CBA">
      <w:pPr>
        <w:spacing w:line="560" w:lineRule="exact"/>
        <w:jc w:val="center"/>
        <w:rPr>
          <w:rFonts w:asciiTheme="majorEastAsia" w:eastAsiaTheme="majorEastAsia" w:hAnsiTheme="majorEastAsia" w:cs="仿宋" w:hint="eastAsia"/>
          <w:b/>
          <w:sz w:val="28"/>
          <w:szCs w:val="28"/>
        </w:rPr>
      </w:pPr>
      <w:proofErr w:type="gramStart"/>
      <w:r w:rsidRPr="00CD7CBA">
        <w:rPr>
          <w:rFonts w:asciiTheme="majorEastAsia" w:eastAsiaTheme="majorEastAsia" w:hAnsiTheme="majorEastAsia" w:cs="仿宋" w:hint="eastAsia"/>
          <w:b/>
          <w:sz w:val="28"/>
          <w:szCs w:val="28"/>
        </w:rPr>
        <w:t>五政办</w:t>
      </w:r>
      <w:proofErr w:type="gramEnd"/>
      <w:r w:rsidRPr="00CD7CBA">
        <w:rPr>
          <w:rFonts w:asciiTheme="majorEastAsia" w:eastAsiaTheme="majorEastAsia" w:hAnsiTheme="majorEastAsia" w:cs="仿宋" w:hint="eastAsia"/>
          <w:b/>
          <w:sz w:val="28"/>
          <w:szCs w:val="28"/>
        </w:rPr>
        <w:t>发〔2023〕16号</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各乡（镇）人民政府，</w:t>
      </w:r>
      <w:proofErr w:type="gramStart"/>
      <w:r w:rsidRPr="00CD7CBA">
        <w:rPr>
          <w:rFonts w:asciiTheme="majorEastAsia" w:eastAsiaTheme="majorEastAsia" w:hAnsiTheme="majorEastAsia" w:cs="仿宋" w:hint="eastAsia"/>
          <w:sz w:val="28"/>
          <w:szCs w:val="28"/>
        </w:rPr>
        <w:t>驼梁风景区</w:t>
      </w:r>
      <w:proofErr w:type="gramEnd"/>
      <w:r w:rsidRPr="00CD7CBA">
        <w:rPr>
          <w:rFonts w:asciiTheme="majorEastAsia" w:eastAsiaTheme="majorEastAsia" w:hAnsiTheme="majorEastAsia" w:cs="仿宋" w:hint="eastAsia"/>
          <w:sz w:val="28"/>
          <w:szCs w:val="28"/>
        </w:rPr>
        <w:t>服务中心，县直各有关单位：</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《五台县2023年冬季清洁取暖工作实施方案》已经县人民政府同意，现予以印发，请认真贯彻执行。</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jc w:val="righ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lastRenderedPageBreak/>
        <w:t>五台县人民政府办公室</w:t>
      </w:r>
    </w:p>
    <w:p w:rsidR="00CD7CBA" w:rsidRPr="00CD7CBA" w:rsidRDefault="00CD7CBA" w:rsidP="00CD7CBA">
      <w:pPr>
        <w:spacing w:line="560" w:lineRule="exact"/>
        <w:jc w:val="righ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2023年5月19日</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jc w:val="center"/>
        <w:rPr>
          <w:rFonts w:asciiTheme="majorEastAsia" w:eastAsiaTheme="majorEastAsia" w:hAnsiTheme="majorEastAsia" w:cs="仿宋" w:hint="eastAsia"/>
          <w:b/>
          <w:sz w:val="28"/>
          <w:szCs w:val="28"/>
        </w:rPr>
      </w:pPr>
      <w:r w:rsidRPr="00CD7CBA">
        <w:rPr>
          <w:rFonts w:asciiTheme="majorEastAsia" w:eastAsiaTheme="majorEastAsia" w:hAnsiTheme="majorEastAsia" w:cs="仿宋" w:hint="eastAsia"/>
          <w:b/>
          <w:sz w:val="28"/>
          <w:szCs w:val="28"/>
        </w:rPr>
        <w:t>五台县2023年冬季清洁取暖工作实施方案</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为贯彻落实县委、县政府关于全县清洁取暖工作的决策部署，全面完成我县清洁取暖目标任务，指导全县扎实推进2023年冬季清洁取暖改造工作，特制定本工作方案。</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一、总体思路</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全面贯彻落</w:t>
      </w:r>
      <w:proofErr w:type="gramStart"/>
      <w:r w:rsidRPr="00CD7CBA">
        <w:rPr>
          <w:rFonts w:asciiTheme="majorEastAsia" w:eastAsiaTheme="majorEastAsia" w:hAnsiTheme="majorEastAsia" w:cs="仿宋" w:hint="eastAsia"/>
          <w:sz w:val="28"/>
          <w:szCs w:val="28"/>
        </w:rPr>
        <w:t>实习近</w:t>
      </w:r>
      <w:proofErr w:type="gramEnd"/>
      <w:r w:rsidRPr="00CD7CBA">
        <w:rPr>
          <w:rFonts w:asciiTheme="majorEastAsia" w:eastAsiaTheme="majorEastAsia" w:hAnsiTheme="majorEastAsia" w:cs="仿宋" w:hint="eastAsia"/>
          <w:sz w:val="28"/>
          <w:szCs w:val="28"/>
        </w:rPr>
        <w:t>平总书记关于推进北方地区冬季清洁取暖的重要指示精神，统筹推进全县清洁取暖改造工作，构建组织有力、协调顺畅、分工明确、上下联动的工作落实机制，因地制宜实施清洁取暖改造，全面完成北方地区清洁取暖试点城市备案任务，切实保障广大人民群众清洁、温暖过冬。</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二、主要目标</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2023年采暖季前，全面完成清洁取暖改造年度目标任务，县城清洁取暖覆盖率达到100%，实现“禁煤区”散煤清零；完成建筑节能改造目标任务。</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lastRenderedPageBreak/>
        <w:t>（一）冬季清洁取暖改造</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全县2023年度清洁取暖总任务为3966户，其中集中供热2001户，“煤改电”1965户。</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（二）建筑节能改造</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根据忻州市清洁取暖工作领导小组办公室《关于印发&lt;忻州市北方地区冬季清洁取暖项目建筑节能改造工作实施方案&gt;的通知》（</w:t>
      </w:r>
      <w:proofErr w:type="gramStart"/>
      <w:r w:rsidRPr="00CD7CBA">
        <w:rPr>
          <w:rFonts w:asciiTheme="majorEastAsia" w:eastAsiaTheme="majorEastAsia" w:hAnsiTheme="majorEastAsia" w:cs="仿宋" w:hint="eastAsia"/>
          <w:sz w:val="28"/>
          <w:szCs w:val="28"/>
        </w:rPr>
        <w:t>忻</w:t>
      </w:r>
      <w:proofErr w:type="gramEnd"/>
      <w:r w:rsidRPr="00CD7CBA">
        <w:rPr>
          <w:rFonts w:asciiTheme="majorEastAsia" w:eastAsiaTheme="majorEastAsia" w:hAnsiTheme="majorEastAsia" w:cs="仿宋" w:hint="eastAsia"/>
          <w:sz w:val="28"/>
          <w:szCs w:val="28"/>
        </w:rPr>
        <w:t>清洁办发〔2021〕5号）任务分解情况，在进一步完善2021年和2022年建筑节能改造任务14.78万㎡基础上，完成2023年县城（城区）既有建筑节能改造任务6.34万㎡。</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三、重点任务</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（一）全面完成清洁取暖改造计划</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各乡（镇）人民政府、县住房和城乡建设管理局、县公安局交警大队要根据全县统一部署和目标任务，制定具体实施方案，结合时间节点要求，倒排工期，按月量化工作任务，有序安排施工，及时协调解决工程施工中存在的困难和问题，确保按期完成工程改造任务，在采暖季前，具备通电通气等使用条件。</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lastRenderedPageBreak/>
        <w:t>（二）全面完成建筑节能改造计划</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县住房和城乡建设管理局要统筹安排部署既有建筑节能改造工作，确保改造后能效水平提升30%以上，农村住宅结合实际确定改造方式，减少取暖</w:t>
      </w:r>
      <w:proofErr w:type="gramStart"/>
      <w:r w:rsidRPr="00CD7CBA">
        <w:rPr>
          <w:rFonts w:asciiTheme="majorEastAsia" w:eastAsiaTheme="majorEastAsia" w:hAnsiTheme="majorEastAsia" w:cs="仿宋" w:hint="eastAsia"/>
          <w:sz w:val="28"/>
          <w:szCs w:val="28"/>
        </w:rPr>
        <w:t>季居民</w:t>
      </w:r>
      <w:proofErr w:type="gramEnd"/>
      <w:r w:rsidRPr="00CD7CBA">
        <w:rPr>
          <w:rFonts w:asciiTheme="majorEastAsia" w:eastAsiaTheme="majorEastAsia" w:hAnsiTheme="majorEastAsia" w:cs="仿宋" w:hint="eastAsia"/>
          <w:sz w:val="28"/>
          <w:szCs w:val="28"/>
        </w:rPr>
        <w:t>房屋热量流失，确保清洁取暖改造效果。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（三）建立和完善清洁取暖改造</w:t>
      </w:r>
      <w:proofErr w:type="gramStart"/>
      <w:r w:rsidRPr="00CD7CBA">
        <w:rPr>
          <w:rFonts w:asciiTheme="majorEastAsia" w:eastAsiaTheme="majorEastAsia" w:hAnsiTheme="majorEastAsia" w:cs="仿宋" w:hint="eastAsia"/>
          <w:sz w:val="28"/>
          <w:szCs w:val="28"/>
        </w:rPr>
        <w:t>用户台账式</w:t>
      </w:r>
      <w:proofErr w:type="gramEnd"/>
      <w:r w:rsidRPr="00CD7CBA">
        <w:rPr>
          <w:rFonts w:asciiTheme="majorEastAsia" w:eastAsiaTheme="majorEastAsia" w:hAnsiTheme="majorEastAsia" w:cs="仿宋" w:hint="eastAsia"/>
          <w:sz w:val="28"/>
          <w:szCs w:val="28"/>
        </w:rPr>
        <w:t>管理</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以用户信息、取暖路径、设备选型、实施进度、</w:t>
      </w:r>
      <w:proofErr w:type="gramStart"/>
      <w:r w:rsidRPr="00CD7CBA">
        <w:rPr>
          <w:rFonts w:asciiTheme="majorEastAsia" w:eastAsiaTheme="majorEastAsia" w:hAnsiTheme="majorEastAsia" w:cs="仿宋" w:hint="eastAsia"/>
          <w:sz w:val="28"/>
          <w:szCs w:val="28"/>
        </w:rPr>
        <w:t>验收台</w:t>
      </w:r>
      <w:proofErr w:type="gramEnd"/>
      <w:r w:rsidRPr="00CD7CBA">
        <w:rPr>
          <w:rFonts w:asciiTheme="majorEastAsia" w:eastAsiaTheme="majorEastAsia" w:hAnsiTheme="majorEastAsia" w:cs="仿宋" w:hint="eastAsia"/>
          <w:sz w:val="28"/>
          <w:szCs w:val="28"/>
        </w:rPr>
        <w:t>账等为主要内容，进一步建立和完善确村确户、设备选型、工程推进、验收管理等台账，逐步</w:t>
      </w:r>
      <w:proofErr w:type="gramStart"/>
      <w:r w:rsidRPr="00CD7CBA">
        <w:rPr>
          <w:rFonts w:asciiTheme="majorEastAsia" w:eastAsiaTheme="majorEastAsia" w:hAnsiTheme="majorEastAsia" w:cs="仿宋" w:hint="eastAsia"/>
          <w:sz w:val="28"/>
          <w:szCs w:val="28"/>
        </w:rPr>
        <w:t>实现台账管理</w:t>
      </w:r>
      <w:proofErr w:type="gramEnd"/>
      <w:r w:rsidRPr="00CD7CBA">
        <w:rPr>
          <w:rFonts w:asciiTheme="majorEastAsia" w:eastAsiaTheme="majorEastAsia" w:hAnsiTheme="majorEastAsia" w:cs="仿宋" w:hint="eastAsia"/>
          <w:sz w:val="28"/>
          <w:szCs w:val="28"/>
        </w:rPr>
        <w:t>电子化、信息化。</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（四）培育清洁取暖运营管理市场主体</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充分调动社会资本参与清洁取暖投资、建设和运营，逐步实施清洁取暖产业化管理，培育具备采暖能源交易资源的清洁供暖服务运营企业。鼓励企业和居民节能降耗，降低取暖成本，构建“企业为主、政府监管、居民可承受”的运营模式。</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（五）做好各类清洁取暖能源保供</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各乡（镇）人民政府、县供电公司、县热力公司、</w:t>
      </w:r>
      <w:proofErr w:type="gramStart"/>
      <w:r w:rsidRPr="00CD7CBA">
        <w:rPr>
          <w:rFonts w:asciiTheme="majorEastAsia" w:eastAsiaTheme="majorEastAsia" w:hAnsiTheme="majorEastAsia" w:cs="仿宋" w:hint="eastAsia"/>
          <w:sz w:val="28"/>
          <w:szCs w:val="28"/>
        </w:rPr>
        <w:t>忻</w:t>
      </w:r>
      <w:proofErr w:type="gramEnd"/>
      <w:r w:rsidRPr="00CD7CBA">
        <w:rPr>
          <w:rFonts w:asciiTheme="majorEastAsia" w:eastAsiaTheme="majorEastAsia" w:hAnsiTheme="majorEastAsia" w:cs="仿宋" w:hint="eastAsia"/>
          <w:sz w:val="28"/>
          <w:szCs w:val="28"/>
        </w:rPr>
        <w:t>州长峰燃气公司要根据清洁取暖户数，结合气候条件、能源供需和能源价格变化等情况，在做</w:t>
      </w:r>
      <w:r w:rsidRPr="00CD7CBA">
        <w:rPr>
          <w:rFonts w:asciiTheme="majorEastAsia" w:eastAsiaTheme="majorEastAsia" w:hAnsiTheme="majorEastAsia" w:cs="仿宋" w:hint="eastAsia"/>
          <w:sz w:val="28"/>
          <w:szCs w:val="28"/>
        </w:rPr>
        <w:lastRenderedPageBreak/>
        <w:t>好电力稳定供应的同时，签订供用气量合同、采购和储备洁净煤等燃料，保障群众清洁取暖用能需求。</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（六）进一步优化完善补贴政策</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财政局要加大筹措资金力度，在保持现有补贴政策延续的同时，进一步完善补贴政策，统筹落实建筑节能改造资金。要保持不同取暖路径居民用能价格接近，消除农村居民顾虑，补贴政策要向低收入和弱势群体倾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四、改造方式</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将清洁取暖工作与城乡基础设施建设和乡村振兴工作有机结合，城镇、县城、城边村等居住集中的地区重点发展超低排放锅炉集中供暖，农村地区坚持“以供定改、先立后破”，稳妥推进“煤改电”供暖，新实施的清洁取暖“煤改电”项目，未经过一个采暖</w:t>
      </w:r>
      <w:proofErr w:type="gramStart"/>
      <w:r w:rsidRPr="00CD7CBA">
        <w:rPr>
          <w:rFonts w:asciiTheme="majorEastAsia" w:eastAsiaTheme="majorEastAsia" w:hAnsiTheme="majorEastAsia" w:cs="仿宋" w:hint="eastAsia"/>
          <w:sz w:val="28"/>
          <w:szCs w:val="28"/>
        </w:rPr>
        <w:t>季稳定</w:t>
      </w:r>
      <w:proofErr w:type="gramEnd"/>
      <w:r w:rsidRPr="00CD7CBA">
        <w:rPr>
          <w:rFonts w:asciiTheme="majorEastAsia" w:eastAsiaTheme="majorEastAsia" w:hAnsiTheme="majorEastAsia" w:cs="仿宋" w:hint="eastAsia"/>
          <w:sz w:val="28"/>
          <w:szCs w:val="28"/>
        </w:rPr>
        <w:t>运行的，绝不允许拆除原有供暖设施，坚决杜绝强行“封火炕、拆暖炉、没收煤炭”等一刀切问题发生。根据资源禀赋，合理发展太阳能等可再生能源供热，鼓励利用多种能源互补方式供热，适当利用集中供暖延伸覆盖。在农村边远地区确不具备清洁取暖改造条件的，推广“洁净煤+环保炉具”“生物质成型燃料+专用炉具”等方式，保障居民温暖过冬。</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1.优先发展集中供热。县城和城乡结合部应当重点发展清洁燃煤集中供热，提升城镇及周边地区的清洁燃煤集中供热面积和能力。</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2.积极推进清洁取暖“煤改电”供热。在集中供热热力管网覆盖不到的区域，原则上选择空气源热泵作为清洁取暖“煤改电”设备。在前期确</w:t>
      </w:r>
      <w:proofErr w:type="gramStart"/>
      <w:r w:rsidRPr="00CD7CBA">
        <w:rPr>
          <w:rFonts w:asciiTheme="majorEastAsia" w:eastAsiaTheme="majorEastAsia" w:hAnsiTheme="majorEastAsia" w:cs="仿宋" w:hint="eastAsia"/>
          <w:sz w:val="28"/>
          <w:szCs w:val="28"/>
        </w:rPr>
        <w:t>村确户的</w:t>
      </w:r>
      <w:proofErr w:type="gramEnd"/>
      <w:r w:rsidRPr="00CD7CBA">
        <w:rPr>
          <w:rFonts w:asciiTheme="majorEastAsia" w:eastAsiaTheme="majorEastAsia" w:hAnsiTheme="majorEastAsia" w:cs="仿宋" w:hint="eastAsia"/>
          <w:sz w:val="28"/>
          <w:szCs w:val="28"/>
        </w:rPr>
        <w:t>基础上，进一步开展“煤改电”设备选型工作，指导用户选择符合取暖需求和经济条件的取暖设备型号。</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五、实施步骤</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（一）制定方案（2023年4月30日前）</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全面核实辖区内清洁取暖改造任务，科学制定年度清洁取暖改造计划，完善“煤改电”设备选型，并根据本方案，在确</w:t>
      </w:r>
      <w:proofErr w:type="gramStart"/>
      <w:r w:rsidRPr="00CD7CBA">
        <w:rPr>
          <w:rFonts w:asciiTheme="majorEastAsia" w:eastAsiaTheme="majorEastAsia" w:hAnsiTheme="majorEastAsia" w:cs="仿宋" w:hint="eastAsia"/>
          <w:sz w:val="28"/>
          <w:szCs w:val="28"/>
        </w:rPr>
        <w:t>村确户和</w:t>
      </w:r>
      <w:proofErr w:type="gramEnd"/>
      <w:r w:rsidRPr="00CD7CBA">
        <w:rPr>
          <w:rFonts w:asciiTheme="majorEastAsia" w:eastAsiaTheme="majorEastAsia" w:hAnsiTheme="majorEastAsia" w:cs="仿宋" w:hint="eastAsia"/>
          <w:sz w:val="28"/>
          <w:szCs w:val="28"/>
        </w:rPr>
        <w:t>设备选型的基础上结合实际，因地制宜，制定本辖区的具体实施方案。</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（二）组织实施（2023年5月1日-2023年9月30日）</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全县“煤改电”设备由市能源局统一招标，县能源局代表县政府与中标企业签订设备采购合同，并根据中标设备清单确定本区域清洁取暖“煤改电”居民和单位数量及对应的各类设备型号和数量，完成“煤改电”设备安装项目的统一招投标。9月30日前完成项目施工工程，确保采暖季前清洁取暖设备正常投入使用。在具体的改造过程中，各乡（镇）人民政府要加强和热力公司、供电公司的协调对接，及时帮助协调解决改造过程中遇到的占地、拆迁、</w:t>
      </w:r>
      <w:proofErr w:type="gramStart"/>
      <w:r w:rsidRPr="00CD7CBA">
        <w:rPr>
          <w:rFonts w:asciiTheme="majorEastAsia" w:eastAsiaTheme="majorEastAsia" w:hAnsiTheme="majorEastAsia" w:cs="仿宋" w:hint="eastAsia"/>
          <w:sz w:val="28"/>
          <w:szCs w:val="28"/>
        </w:rPr>
        <w:t>青赔等</w:t>
      </w:r>
      <w:proofErr w:type="gramEnd"/>
      <w:r w:rsidRPr="00CD7CBA">
        <w:rPr>
          <w:rFonts w:asciiTheme="majorEastAsia" w:eastAsiaTheme="majorEastAsia" w:hAnsiTheme="majorEastAsia" w:cs="仿宋" w:hint="eastAsia"/>
          <w:sz w:val="28"/>
          <w:szCs w:val="28"/>
        </w:rPr>
        <w:t>问题，确保热源设施建设、电网改造工程和居民户</w:t>
      </w:r>
      <w:r w:rsidRPr="00CD7CBA">
        <w:rPr>
          <w:rFonts w:asciiTheme="majorEastAsia" w:eastAsiaTheme="majorEastAsia" w:hAnsiTheme="majorEastAsia" w:cs="仿宋" w:hint="eastAsia"/>
          <w:sz w:val="28"/>
          <w:szCs w:val="28"/>
        </w:rPr>
        <w:lastRenderedPageBreak/>
        <w:t>内设施改造的顺利推进。</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（三）项目验收（2023年10月1日-2023年10月14日）</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县清洁取暖工作领导小组办公室、各乡（镇）人民政府、相关成员单位要按照忻州市清洁取暖工作领导小组办公室《关于印发忻州市冬季清洁取暖项目验收方案的通知》（</w:t>
      </w:r>
      <w:proofErr w:type="gramStart"/>
      <w:r w:rsidRPr="00CD7CBA">
        <w:rPr>
          <w:rFonts w:asciiTheme="majorEastAsia" w:eastAsiaTheme="majorEastAsia" w:hAnsiTheme="majorEastAsia" w:cs="仿宋" w:hint="eastAsia"/>
          <w:sz w:val="28"/>
          <w:szCs w:val="28"/>
        </w:rPr>
        <w:t>忻</w:t>
      </w:r>
      <w:proofErr w:type="gramEnd"/>
      <w:r w:rsidRPr="00CD7CBA">
        <w:rPr>
          <w:rFonts w:asciiTheme="majorEastAsia" w:eastAsiaTheme="majorEastAsia" w:hAnsiTheme="majorEastAsia" w:cs="仿宋" w:hint="eastAsia"/>
          <w:sz w:val="28"/>
          <w:szCs w:val="28"/>
        </w:rPr>
        <w:t>清洁办发〔2022〕7号）要求，组织有关部门、监理单位对集中供暖、“煤改电”、建筑节能改造及电网增容改造项目进行验收，验收工作中要建立明细台账及“一户一档”手册，保障供暖设备正常运行，确保各项工作落到实处。</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（四）绩效评估（2023年10月15日-2024年4月15日）</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各乡（镇）人民政府、相关成员单位要按照《忻州市2022-2023年度冬季清洁取暖绩效评价管理办法》（</w:t>
      </w:r>
      <w:proofErr w:type="gramStart"/>
      <w:r w:rsidRPr="00CD7CBA">
        <w:rPr>
          <w:rFonts w:asciiTheme="majorEastAsia" w:eastAsiaTheme="majorEastAsia" w:hAnsiTheme="majorEastAsia" w:cs="仿宋" w:hint="eastAsia"/>
          <w:sz w:val="28"/>
          <w:szCs w:val="28"/>
        </w:rPr>
        <w:t>忻</w:t>
      </w:r>
      <w:proofErr w:type="gramEnd"/>
      <w:r w:rsidRPr="00CD7CBA">
        <w:rPr>
          <w:rFonts w:asciiTheme="majorEastAsia" w:eastAsiaTheme="majorEastAsia" w:hAnsiTheme="majorEastAsia" w:cs="仿宋" w:hint="eastAsia"/>
          <w:sz w:val="28"/>
          <w:szCs w:val="28"/>
        </w:rPr>
        <w:t>清洁办发〔2022〕8号）要求按时报送清洁取暖、建筑节能工作的任务完成、能源保障、资金使用、台</w:t>
      </w:r>
      <w:proofErr w:type="gramStart"/>
      <w:r w:rsidRPr="00CD7CBA">
        <w:rPr>
          <w:rFonts w:asciiTheme="majorEastAsia" w:eastAsiaTheme="majorEastAsia" w:hAnsiTheme="majorEastAsia" w:cs="仿宋" w:hint="eastAsia"/>
          <w:sz w:val="28"/>
          <w:szCs w:val="28"/>
        </w:rPr>
        <w:t>账管理</w:t>
      </w:r>
      <w:proofErr w:type="gramEnd"/>
      <w:r w:rsidRPr="00CD7CBA">
        <w:rPr>
          <w:rFonts w:asciiTheme="majorEastAsia" w:eastAsiaTheme="majorEastAsia" w:hAnsiTheme="majorEastAsia" w:cs="仿宋" w:hint="eastAsia"/>
          <w:sz w:val="28"/>
          <w:szCs w:val="28"/>
        </w:rPr>
        <w:t>等资料，县清洁取暖工作领导小组办公室组织编制清洁取暖项目绩效自评报告，迎接国家四部委对我县清洁取暖工作的绩效评价考核。</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六、职责分工</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1.县清洁取暖工作领导小组办公室、各乡（镇）人民政府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lastRenderedPageBreak/>
        <w:t>县清洁取暖工作领导小组办公室负责安全质量监管、工程施工安排、资金使用管理等工作，并协调冬季清洁取暖相关工作的落实，定期向市清洁取暖工作领导小组办公室报告项目进展和资金使用情况。</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各乡（镇）人民政府是本区域清洁取暖工程实施及安全保障责任主体，负责编制本区域清洁取暖工作实施方案，建立清洁取暖改造</w:t>
      </w:r>
      <w:proofErr w:type="gramStart"/>
      <w:r w:rsidRPr="00CD7CBA">
        <w:rPr>
          <w:rFonts w:asciiTheme="majorEastAsia" w:eastAsiaTheme="majorEastAsia" w:hAnsiTheme="majorEastAsia" w:cs="仿宋" w:hint="eastAsia"/>
          <w:sz w:val="28"/>
          <w:szCs w:val="28"/>
        </w:rPr>
        <w:t>用户台</w:t>
      </w:r>
      <w:proofErr w:type="gramEnd"/>
      <w:r w:rsidRPr="00CD7CBA">
        <w:rPr>
          <w:rFonts w:asciiTheme="majorEastAsia" w:eastAsiaTheme="majorEastAsia" w:hAnsiTheme="majorEastAsia" w:cs="仿宋" w:hint="eastAsia"/>
          <w:sz w:val="28"/>
          <w:szCs w:val="28"/>
        </w:rPr>
        <w:t>账，严格按照实施方案合理安排建设时序，加快清洁取暖项目建设，配合开展项目验收工作。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2.县清洁取暖工作领导小组相关成员单位职责</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能源局负责制定和完善全县清洁取暖实施方案，指导、协调、督促各乡（镇）开展清洁取暖改造工程，调度、统计全县清洁取暖工程进度，组织开展清洁取暖绩效评价工作；负责指导做好民用洁净煤供应企业的布局和管理工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县发展和</w:t>
      </w:r>
      <w:proofErr w:type="gramStart"/>
      <w:r w:rsidRPr="00CD7CBA">
        <w:rPr>
          <w:rFonts w:asciiTheme="majorEastAsia" w:eastAsiaTheme="majorEastAsia" w:hAnsiTheme="majorEastAsia" w:cs="仿宋" w:hint="eastAsia"/>
          <w:sz w:val="28"/>
          <w:szCs w:val="28"/>
        </w:rPr>
        <w:t>改革局</w:t>
      </w:r>
      <w:proofErr w:type="gramEnd"/>
      <w:r w:rsidRPr="00CD7CBA">
        <w:rPr>
          <w:rFonts w:asciiTheme="majorEastAsia" w:eastAsiaTheme="majorEastAsia" w:hAnsiTheme="majorEastAsia" w:cs="仿宋" w:hint="eastAsia"/>
          <w:sz w:val="28"/>
          <w:szCs w:val="28"/>
        </w:rPr>
        <w:t>负责贯彻落实</w:t>
      </w:r>
      <w:proofErr w:type="gramStart"/>
      <w:r w:rsidRPr="00CD7CBA">
        <w:rPr>
          <w:rFonts w:asciiTheme="majorEastAsia" w:eastAsiaTheme="majorEastAsia" w:hAnsiTheme="majorEastAsia" w:cs="仿宋" w:hint="eastAsia"/>
          <w:sz w:val="28"/>
          <w:szCs w:val="28"/>
        </w:rPr>
        <w:t>省发改</w:t>
      </w:r>
      <w:proofErr w:type="gramEnd"/>
      <w:r w:rsidRPr="00CD7CBA">
        <w:rPr>
          <w:rFonts w:asciiTheme="majorEastAsia" w:eastAsiaTheme="majorEastAsia" w:hAnsiTheme="majorEastAsia" w:cs="仿宋" w:hint="eastAsia"/>
          <w:sz w:val="28"/>
          <w:szCs w:val="28"/>
        </w:rPr>
        <w:t>委“煤改电”电价政策，修订和完善我县“煤改气”气价政策等相关工作，负责抓好天然气储气设施建设和调峰能力建设，负责做好清洁取暖气源调度和协调工作，保障民生用气需求。</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县财政局负责制定出台2023年清洁取暖补贴政策，筹措和拨付清洁取暖资金、明确付款方式，负责监督资金使用，做好资金清算工作。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lastRenderedPageBreak/>
        <w:t>市生态环境局五台分局负责燃煤、燃气设备污染防治设施运行的监管，督促改造、拆除在用锅炉等相关工作。</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住房和城乡建设管理局负责全县既有建筑节能改造的政策咨询与技术服务、监督、指导、考核工作，制定城区和县城既有建筑节能改造及农村围护结构改造实施方案，督促各乡（镇）进行改造并完成验收，确保完成全县建筑节能改造和农村围护结构改造的目标任务。负责全县集中供热改造，制定集中供热实施方案，督促县热力公司进行集中供热改造并组织验收，确保完成全县集中供热目标任务。</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县供电公司负责组织实施“煤改电”配套电网改造工作，采暖季前完成配套电网改造工程，确保“煤改电”电力安全稳定供应。</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县热力公司负责集中供热配套热力管网改造工作，采暖季前完成热力管网改造工程，确保居民按时供暖。</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proofErr w:type="gramStart"/>
      <w:r w:rsidRPr="00CD7CBA">
        <w:rPr>
          <w:rFonts w:asciiTheme="majorEastAsia" w:eastAsiaTheme="majorEastAsia" w:hAnsiTheme="majorEastAsia" w:cs="仿宋" w:hint="eastAsia"/>
          <w:sz w:val="28"/>
          <w:szCs w:val="28"/>
        </w:rPr>
        <w:t>忻</w:t>
      </w:r>
      <w:proofErr w:type="gramEnd"/>
      <w:r w:rsidRPr="00CD7CBA">
        <w:rPr>
          <w:rFonts w:asciiTheme="majorEastAsia" w:eastAsiaTheme="majorEastAsia" w:hAnsiTheme="majorEastAsia" w:cs="仿宋" w:hint="eastAsia"/>
          <w:sz w:val="28"/>
          <w:szCs w:val="28"/>
        </w:rPr>
        <w:t>州长峰燃气公司负责“煤改气”用气合同的确定，保障气源供应，确保“煤改气”用户按时供暖。</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其他有关单位根据部门职能和工作分工抓好落实。</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七、工作要求</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lastRenderedPageBreak/>
        <w:t>（一）加强组织领导。各乡（镇）人民政府要落实好清洁取暖工作的主体责任，县清洁取暖工作领导小组各成员单位要按照各自职责和任务分工指导督促做好清洁取暖相关工作。形成主要领导亲手抓，分管领导具体抓，各部门聚合联动，有目标、有计划、有组织的工作机制，确保各项政策措施落地、改造任务完成、相关工作取得扎实成效。</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（二）完善日常调度。进一步完善全县清洁取暖日常调度体系，各乡（镇）人民政府和县清洁取暖工作领导小组相关成员单位要对清洁取暖工作实行</w:t>
      </w:r>
      <w:proofErr w:type="gramStart"/>
      <w:r w:rsidRPr="00CD7CBA">
        <w:rPr>
          <w:rFonts w:asciiTheme="majorEastAsia" w:eastAsiaTheme="majorEastAsia" w:hAnsiTheme="majorEastAsia" w:cs="仿宋" w:hint="eastAsia"/>
          <w:sz w:val="28"/>
          <w:szCs w:val="28"/>
        </w:rPr>
        <w:t>台账式管理</w:t>
      </w:r>
      <w:proofErr w:type="gramEnd"/>
      <w:r w:rsidRPr="00CD7CBA">
        <w:rPr>
          <w:rFonts w:asciiTheme="majorEastAsia" w:eastAsiaTheme="majorEastAsia" w:hAnsiTheme="majorEastAsia" w:cs="仿宋" w:hint="eastAsia"/>
          <w:sz w:val="28"/>
          <w:szCs w:val="28"/>
        </w:rPr>
        <w:t>，指定专人负责，定期调度清洁取暖工作推进情况并报县清洁取暖工作领导小组办公室。县清洁取暖工作领导小组办公室要按照上级部门要求，按时上报全县清洁取暖工作推进情况。</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三）保障能源供应。一是做好冬季取暖天然气迎峰度冬保供工作，保障天然气稳定供应。加快天然气供、储、销一体化体系建设，保障本县居民生活用气和冬季取暖用气。二是做好“煤改电”配套电网改造工作，要加快组织开展电网改造工程，确保电网改造前置“煤改电”改造实施区域。三是做好集中供暖供热管网建设工作，确保供热管网提前完成；四是加强洁净煤供应保障能力建设，保障清洁取暖未覆盖区域群众取暖用煤需求。</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五）做好群众工作。各乡（镇）人民政府要高度重视群众工作，采取多种有效形式让广大群众了解清洁取暖政策，严格执行告知、公示等政务信息公开制度，充分征求群众意见。建立健全舆情响应机制，完善清洁取暖运</w:t>
      </w:r>
      <w:proofErr w:type="gramStart"/>
      <w:r w:rsidRPr="00CD7CBA">
        <w:rPr>
          <w:rFonts w:asciiTheme="majorEastAsia" w:eastAsiaTheme="majorEastAsia" w:hAnsiTheme="majorEastAsia" w:cs="仿宋" w:hint="eastAsia"/>
          <w:sz w:val="28"/>
          <w:szCs w:val="28"/>
        </w:rPr>
        <w:t>维保障</w:t>
      </w:r>
      <w:proofErr w:type="gramEnd"/>
      <w:r w:rsidRPr="00CD7CBA">
        <w:rPr>
          <w:rFonts w:asciiTheme="majorEastAsia" w:eastAsiaTheme="majorEastAsia" w:hAnsiTheme="majorEastAsia" w:cs="仿宋" w:hint="eastAsia"/>
          <w:sz w:val="28"/>
          <w:szCs w:val="28"/>
        </w:rPr>
        <w:t>机制，确保清洁取暖设备稳定运行，保障人民群众温暖过冬。</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hint="eastAsia"/>
          <w:sz w:val="28"/>
          <w:szCs w:val="28"/>
        </w:rPr>
      </w:pPr>
      <w:r w:rsidRPr="00CD7CBA">
        <w:rPr>
          <w:rFonts w:asciiTheme="majorEastAsia" w:eastAsiaTheme="majorEastAsia" w:hAnsiTheme="majorEastAsia" w:cs="仿宋" w:hint="eastAsia"/>
          <w:sz w:val="28"/>
          <w:szCs w:val="28"/>
        </w:rPr>
        <w:t xml:space="preserve">附件：五台县2023年冬季清洁取暖改造任务分解表 </w:t>
      </w:r>
    </w:p>
    <w:p w:rsidR="00CD7CBA" w:rsidRP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hyperlink r:id="rId6" w:history="1">
        <w:r w:rsidRPr="00342CD5">
          <w:rPr>
            <w:rStyle w:val="a5"/>
            <w:rFonts w:asciiTheme="majorEastAsia" w:eastAsiaTheme="majorEastAsia" w:hAnsiTheme="majorEastAsia" w:cs="仿宋"/>
            <w:sz w:val="28"/>
            <w:szCs w:val="28"/>
          </w:rPr>
          <w:t>http://www.wutai.gov.cn/wtxzw/zwgk/wj/xzfwj/202306/t20230605_3876576.html</w:t>
        </w:r>
      </w:hyperlink>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Default="00CD7CBA" w:rsidP="00CD7CBA">
      <w:pPr>
        <w:spacing w:line="560" w:lineRule="exact"/>
        <w:rPr>
          <w:rFonts w:asciiTheme="majorEastAsia" w:eastAsiaTheme="majorEastAsia" w:hAnsiTheme="majorEastAsia" w:cs="仿宋"/>
          <w:sz w:val="28"/>
          <w:szCs w:val="28"/>
        </w:rPr>
      </w:pPr>
    </w:p>
    <w:p w:rsidR="00CD7CBA" w:rsidRPr="00CD7CBA" w:rsidRDefault="00CD7CBA" w:rsidP="00CD7CBA">
      <w:pPr>
        <w:spacing w:line="560" w:lineRule="exact"/>
        <w:rPr>
          <w:rFonts w:asciiTheme="majorEastAsia" w:eastAsiaTheme="majorEastAsia" w:hAnsiTheme="majorEastAsia" w:cs="仿宋"/>
          <w:sz w:val="28"/>
          <w:szCs w:val="28"/>
        </w:rPr>
      </w:pPr>
      <w:r w:rsidRPr="00CD7CBA">
        <w:rPr>
          <w:rFonts w:asciiTheme="majorEastAsia" w:eastAsiaTheme="majorEastAsia" w:hAnsiTheme="majorEastAsia" w:cs="仿宋"/>
          <w:sz w:val="28"/>
          <w:szCs w:val="28"/>
        </w:rPr>
        <w:t xml:space="preserve">     </w:t>
      </w:r>
    </w:p>
    <w:p w:rsidR="00B40A96" w:rsidRDefault="00A124BE">
      <w:pPr>
        <w:spacing w:line="560" w:lineRule="exact"/>
        <w:rPr>
          <w:rFonts w:ascii="黑体" w:eastAsia="黑体" w:hAnsi="黑体" w:cs="仿宋"/>
          <w:sz w:val="32"/>
          <w:szCs w:val="32"/>
        </w:rPr>
      </w:pPr>
      <w:r>
        <w:rPr>
          <w:rFonts w:ascii="黑体" w:eastAsia="黑体" w:hAnsi="黑体" w:cs="仿宋" w:hint="eastAsia"/>
          <w:sz w:val="32"/>
          <w:szCs w:val="32"/>
        </w:rPr>
        <w:t>附件</w:t>
      </w:r>
    </w:p>
    <w:p w:rsidR="00B40A96" w:rsidRDefault="00B40A96">
      <w:pPr>
        <w:spacing w:line="500" w:lineRule="exact"/>
        <w:rPr>
          <w:rFonts w:ascii="仿宋" w:eastAsia="仿宋" w:hAnsi="仿宋" w:cs="仿宋"/>
          <w:sz w:val="32"/>
          <w:szCs w:val="32"/>
        </w:rPr>
      </w:pPr>
    </w:p>
    <w:p w:rsidR="00B40A96" w:rsidRDefault="00A124BE">
      <w:pPr>
        <w:spacing w:line="560" w:lineRule="exact"/>
        <w:jc w:val="center"/>
        <w:rPr>
          <w:rFonts w:ascii="方正小标宋简体" w:eastAsia="方正小标宋简体" w:hAnsi="仿宋" w:cs="仿宋"/>
          <w:b/>
          <w:bCs/>
          <w:sz w:val="36"/>
          <w:szCs w:val="36"/>
        </w:rPr>
      </w:pPr>
      <w:r>
        <w:rPr>
          <w:rFonts w:ascii="方正小标宋简体" w:eastAsia="方正小标宋简体" w:hAnsi="仿宋" w:cs="仿宋" w:hint="eastAsia"/>
          <w:sz w:val="44"/>
          <w:szCs w:val="44"/>
        </w:rPr>
        <w:lastRenderedPageBreak/>
        <w:t>五台县</w:t>
      </w:r>
      <w:r>
        <w:rPr>
          <w:rFonts w:ascii="方正小标宋简体" w:eastAsia="方正小标宋简体" w:hAnsi="仿宋" w:cs="仿宋" w:hint="eastAsia"/>
          <w:sz w:val="44"/>
          <w:szCs w:val="44"/>
        </w:rPr>
        <w:t>2023</w:t>
      </w:r>
      <w:r>
        <w:rPr>
          <w:rFonts w:ascii="方正小标宋简体" w:eastAsia="方正小标宋简体" w:hAnsi="仿宋" w:cs="仿宋" w:hint="eastAsia"/>
          <w:sz w:val="44"/>
          <w:szCs w:val="44"/>
        </w:rPr>
        <w:t>年冬季清洁取暖改造任务分解表</w:t>
      </w:r>
    </w:p>
    <w:p w:rsidR="00B40A96" w:rsidRDefault="00A124BE">
      <w:pPr>
        <w:spacing w:line="560" w:lineRule="exact"/>
        <w:ind w:right="280"/>
        <w:jc w:val="right"/>
        <w:rPr>
          <w:rFonts w:ascii="仿宋" w:eastAsia="仿宋" w:hAnsi="仿宋" w:cs="仿宋"/>
          <w:b/>
          <w:bCs/>
          <w:sz w:val="36"/>
          <w:szCs w:val="36"/>
        </w:rPr>
      </w:pPr>
      <w:r>
        <w:rPr>
          <w:rFonts w:ascii="仿宋" w:eastAsia="仿宋" w:hAnsi="仿宋" w:cs="仿宋" w:hint="eastAsia"/>
          <w:sz w:val="28"/>
          <w:szCs w:val="28"/>
        </w:rPr>
        <w:t>单位：户</w:t>
      </w:r>
    </w:p>
    <w:tbl>
      <w:tblPr>
        <w:tblW w:w="9188" w:type="dxa"/>
        <w:jc w:val="center"/>
        <w:tblLayout w:type="fixed"/>
        <w:tblLook w:val="04A0" w:firstRow="1" w:lastRow="0" w:firstColumn="1" w:lastColumn="0" w:noHBand="0" w:noVBand="1"/>
      </w:tblPr>
      <w:tblGrid>
        <w:gridCol w:w="740"/>
        <w:gridCol w:w="1502"/>
        <w:gridCol w:w="852"/>
        <w:gridCol w:w="1190"/>
        <w:gridCol w:w="1207"/>
        <w:gridCol w:w="885"/>
        <w:gridCol w:w="867"/>
        <w:gridCol w:w="870"/>
        <w:gridCol w:w="1075"/>
      </w:tblGrid>
      <w:tr w:rsidR="00B40A96">
        <w:trPr>
          <w:trHeight w:val="102"/>
          <w:jc w:val="center"/>
        </w:trPr>
        <w:tc>
          <w:tcPr>
            <w:tcW w:w="740" w:type="dxa"/>
            <w:vMerge w:val="restart"/>
            <w:tcBorders>
              <w:top w:val="single" w:sz="4" w:space="0" w:color="000000"/>
              <w:left w:val="single" w:sz="4" w:space="0" w:color="000000"/>
              <w:right w:val="single" w:sz="4" w:space="0" w:color="000000"/>
            </w:tcBorders>
            <w:noWrap/>
            <w:vAlign w:val="center"/>
          </w:tcPr>
          <w:p w:rsidR="00B40A96" w:rsidRDefault="00A124BE">
            <w:pPr>
              <w:widowControl/>
              <w:spacing w:line="500" w:lineRule="exact"/>
              <w:ind w:leftChars="-40" w:left="-84" w:rightChars="-57" w:right="-120"/>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序号</w:t>
            </w:r>
          </w:p>
        </w:tc>
        <w:tc>
          <w:tcPr>
            <w:tcW w:w="1502" w:type="dxa"/>
            <w:vMerge w:val="restart"/>
            <w:tcBorders>
              <w:top w:val="single" w:sz="4" w:space="0" w:color="000000"/>
              <w:left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乡（镇）</w:t>
            </w:r>
          </w:p>
        </w:tc>
        <w:tc>
          <w:tcPr>
            <w:tcW w:w="3249" w:type="dxa"/>
            <w:gridSpan w:val="3"/>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proofErr w:type="gramStart"/>
            <w:r>
              <w:rPr>
                <w:rFonts w:ascii="仿宋" w:eastAsia="仿宋" w:hAnsi="仿宋" w:cs="仿宋" w:hint="eastAsia"/>
                <w:color w:val="000000"/>
                <w:kern w:val="0"/>
                <w:sz w:val="28"/>
                <w:szCs w:val="28"/>
                <w:lang w:bidi="ar"/>
              </w:rPr>
              <w:t>煤改电</w:t>
            </w:r>
            <w:proofErr w:type="gramEnd"/>
          </w:p>
        </w:tc>
        <w:tc>
          <w:tcPr>
            <w:tcW w:w="2622" w:type="dxa"/>
            <w:gridSpan w:val="3"/>
            <w:tcBorders>
              <w:top w:val="single" w:sz="4" w:space="0" w:color="000000"/>
              <w:left w:val="single" w:sz="4" w:space="0" w:color="000000"/>
              <w:bottom w:val="single" w:sz="4" w:space="0" w:color="000000"/>
              <w:right w:val="single" w:sz="4" w:space="0" w:color="auto"/>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集中供暖</w:t>
            </w:r>
          </w:p>
        </w:tc>
        <w:tc>
          <w:tcPr>
            <w:tcW w:w="1075" w:type="dxa"/>
            <w:vMerge w:val="restart"/>
            <w:tcBorders>
              <w:top w:val="single" w:sz="4" w:space="0" w:color="000000"/>
              <w:left w:val="single" w:sz="4" w:space="0" w:color="auto"/>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合计</w:t>
            </w:r>
          </w:p>
        </w:tc>
      </w:tr>
      <w:tr w:rsidR="00B40A96">
        <w:trPr>
          <w:trHeight w:val="102"/>
          <w:jc w:val="center"/>
        </w:trPr>
        <w:tc>
          <w:tcPr>
            <w:tcW w:w="740" w:type="dxa"/>
            <w:vMerge/>
            <w:tcBorders>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502" w:type="dxa"/>
            <w:vMerge/>
            <w:tcBorders>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52"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小计</w:t>
            </w:r>
          </w:p>
        </w:tc>
        <w:tc>
          <w:tcPr>
            <w:tcW w:w="1190"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居民户</w:t>
            </w:r>
          </w:p>
        </w:tc>
        <w:tc>
          <w:tcPr>
            <w:tcW w:w="1207" w:type="dxa"/>
            <w:tcBorders>
              <w:top w:val="single" w:sz="4" w:space="0" w:color="000000"/>
              <w:left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集体户</w:t>
            </w:r>
          </w:p>
        </w:tc>
        <w:tc>
          <w:tcPr>
            <w:tcW w:w="885" w:type="dxa"/>
            <w:tcBorders>
              <w:top w:val="single" w:sz="4" w:space="0" w:color="000000"/>
              <w:left w:val="single" w:sz="4" w:space="0" w:color="000000"/>
              <w:bottom w:val="single" w:sz="4" w:space="0" w:color="000000"/>
              <w:right w:val="single" w:sz="4" w:space="0" w:color="auto"/>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小计</w:t>
            </w:r>
          </w:p>
        </w:tc>
        <w:tc>
          <w:tcPr>
            <w:tcW w:w="867" w:type="dxa"/>
            <w:tcBorders>
              <w:top w:val="single" w:sz="4" w:space="0" w:color="000000"/>
              <w:left w:val="single" w:sz="4" w:space="0" w:color="auto"/>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县城</w:t>
            </w:r>
          </w:p>
        </w:tc>
        <w:tc>
          <w:tcPr>
            <w:tcW w:w="869" w:type="dxa"/>
            <w:tcBorders>
              <w:top w:val="single" w:sz="4" w:space="0" w:color="000000"/>
              <w:left w:val="single" w:sz="4" w:space="0" w:color="000000"/>
              <w:bottom w:val="single" w:sz="4" w:space="0" w:color="000000"/>
              <w:right w:val="single" w:sz="4" w:space="0" w:color="auto"/>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农村</w:t>
            </w:r>
          </w:p>
        </w:tc>
        <w:tc>
          <w:tcPr>
            <w:tcW w:w="1075" w:type="dxa"/>
            <w:vMerge/>
            <w:tcBorders>
              <w:left w:val="single" w:sz="4" w:space="0" w:color="auto"/>
              <w:bottom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r>
      <w:tr w:rsidR="00B40A96">
        <w:trPr>
          <w:trHeight w:val="102"/>
          <w:jc w:val="center"/>
        </w:trPr>
        <w:tc>
          <w:tcPr>
            <w:tcW w:w="740"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w:t>
            </w:r>
          </w:p>
        </w:tc>
        <w:tc>
          <w:tcPr>
            <w:tcW w:w="1502"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沟</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南</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乡</w:t>
            </w:r>
          </w:p>
        </w:tc>
        <w:tc>
          <w:tcPr>
            <w:tcW w:w="852"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305</w:t>
            </w:r>
          </w:p>
        </w:tc>
        <w:tc>
          <w:tcPr>
            <w:tcW w:w="1190"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305</w:t>
            </w:r>
          </w:p>
        </w:tc>
        <w:tc>
          <w:tcPr>
            <w:tcW w:w="1207" w:type="dxa"/>
            <w:tcBorders>
              <w:top w:val="single" w:sz="4" w:space="0" w:color="000000"/>
              <w:left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left w:val="single" w:sz="4" w:space="0" w:color="auto"/>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305</w:t>
            </w:r>
          </w:p>
        </w:tc>
      </w:tr>
      <w:tr w:rsidR="00B40A96">
        <w:trPr>
          <w:trHeight w:val="102"/>
          <w:jc w:val="center"/>
        </w:trPr>
        <w:tc>
          <w:tcPr>
            <w:tcW w:w="740"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sz w:val="28"/>
                <w:szCs w:val="28"/>
              </w:rPr>
              <w:t>2</w:t>
            </w:r>
          </w:p>
        </w:tc>
        <w:tc>
          <w:tcPr>
            <w:tcW w:w="1502"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台</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城</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镇</w:t>
            </w:r>
          </w:p>
        </w:tc>
        <w:tc>
          <w:tcPr>
            <w:tcW w:w="852"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122</w:t>
            </w:r>
          </w:p>
        </w:tc>
        <w:tc>
          <w:tcPr>
            <w:tcW w:w="1190"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122</w:t>
            </w:r>
          </w:p>
        </w:tc>
        <w:tc>
          <w:tcPr>
            <w:tcW w:w="1207" w:type="dxa"/>
            <w:tcBorders>
              <w:top w:val="single" w:sz="4" w:space="0" w:color="000000"/>
              <w:left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left w:val="single" w:sz="4" w:space="0" w:color="auto"/>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122</w:t>
            </w:r>
          </w:p>
        </w:tc>
      </w:tr>
      <w:tr w:rsidR="00B40A96">
        <w:trPr>
          <w:trHeight w:val="102"/>
          <w:jc w:val="center"/>
        </w:trPr>
        <w:tc>
          <w:tcPr>
            <w:tcW w:w="740"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3</w:t>
            </w:r>
          </w:p>
        </w:tc>
        <w:tc>
          <w:tcPr>
            <w:tcW w:w="1502"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豆</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村</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镇</w:t>
            </w:r>
          </w:p>
        </w:tc>
        <w:tc>
          <w:tcPr>
            <w:tcW w:w="852"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686</w:t>
            </w:r>
          </w:p>
        </w:tc>
        <w:tc>
          <w:tcPr>
            <w:tcW w:w="1190"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686</w:t>
            </w:r>
          </w:p>
        </w:tc>
        <w:tc>
          <w:tcPr>
            <w:tcW w:w="1207" w:type="dxa"/>
            <w:tcBorders>
              <w:top w:val="single" w:sz="4" w:space="0" w:color="000000"/>
              <w:left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left w:val="single" w:sz="4" w:space="0" w:color="auto"/>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686</w:t>
            </w:r>
          </w:p>
        </w:tc>
      </w:tr>
      <w:tr w:rsidR="00B40A96">
        <w:trPr>
          <w:trHeight w:val="102"/>
          <w:jc w:val="center"/>
        </w:trPr>
        <w:tc>
          <w:tcPr>
            <w:tcW w:w="740"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4</w:t>
            </w:r>
          </w:p>
        </w:tc>
        <w:tc>
          <w:tcPr>
            <w:tcW w:w="1502" w:type="dxa"/>
            <w:tcBorders>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高洪口乡</w:t>
            </w:r>
          </w:p>
        </w:tc>
        <w:tc>
          <w:tcPr>
            <w:tcW w:w="852"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215</w:t>
            </w:r>
          </w:p>
        </w:tc>
        <w:tc>
          <w:tcPr>
            <w:tcW w:w="1190" w:type="dxa"/>
            <w:tcBorders>
              <w:top w:val="single" w:sz="4" w:space="0" w:color="000000"/>
              <w:left w:val="single" w:sz="4" w:space="0" w:color="000000"/>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215</w:t>
            </w:r>
          </w:p>
        </w:tc>
        <w:tc>
          <w:tcPr>
            <w:tcW w:w="1207" w:type="dxa"/>
            <w:tcBorders>
              <w:top w:val="single" w:sz="4" w:space="0" w:color="000000"/>
              <w:left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left w:val="single" w:sz="4" w:space="0" w:color="auto"/>
              <w:bottom w:val="single" w:sz="4" w:space="0" w:color="000000"/>
              <w:right w:val="single" w:sz="4" w:space="0" w:color="000000"/>
            </w:tcBorders>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215</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5</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proofErr w:type="gramStart"/>
            <w:r>
              <w:rPr>
                <w:rFonts w:ascii="仿宋" w:eastAsia="仿宋" w:hAnsi="仿宋" w:cs="仿宋" w:hint="eastAsia"/>
                <w:color w:val="000000"/>
                <w:kern w:val="0"/>
                <w:sz w:val="28"/>
                <w:szCs w:val="28"/>
                <w:lang w:bidi="ar"/>
              </w:rPr>
              <w:t>茹</w:t>
            </w:r>
            <w:proofErr w:type="gramEnd"/>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村</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206</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206</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206</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6</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阳</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白</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185</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185</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185</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proofErr w:type="gramStart"/>
            <w:r>
              <w:rPr>
                <w:rFonts w:ascii="仿宋" w:eastAsia="仿宋" w:hAnsi="仿宋" w:cs="仿宋" w:hint="eastAsia"/>
                <w:color w:val="000000"/>
                <w:kern w:val="0"/>
                <w:sz w:val="28"/>
                <w:szCs w:val="28"/>
                <w:lang w:bidi="ar"/>
              </w:rPr>
              <w:t>蒋</w:t>
            </w:r>
            <w:proofErr w:type="gramEnd"/>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坊</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79</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79</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79</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8</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耿</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镇</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镇</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77</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77</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77</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9</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白家庄镇</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40</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40</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40</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10</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proofErr w:type="gramStart"/>
            <w:r>
              <w:rPr>
                <w:rFonts w:ascii="仿宋" w:eastAsia="仿宋" w:hAnsi="仿宋" w:cs="仿宋" w:hint="eastAsia"/>
                <w:color w:val="000000"/>
                <w:kern w:val="0"/>
                <w:sz w:val="28"/>
                <w:szCs w:val="28"/>
                <w:lang w:bidi="ar"/>
              </w:rPr>
              <w:t>门限石</w:t>
            </w:r>
            <w:proofErr w:type="gramEnd"/>
            <w:r>
              <w:rPr>
                <w:rFonts w:ascii="仿宋" w:eastAsia="仿宋" w:hAnsi="仿宋" w:cs="仿宋" w:hint="eastAsia"/>
                <w:color w:val="000000"/>
                <w:kern w:val="0"/>
                <w:sz w:val="28"/>
                <w:szCs w:val="28"/>
                <w:lang w:bidi="ar"/>
              </w:rPr>
              <w:t>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20</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20</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20</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11</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东</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冶</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镇</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sz w:val="28"/>
                <w:szCs w:val="28"/>
              </w:rPr>
              <w:t>4</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4</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4</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12</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陈家庄乡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8</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8</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8</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13</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建</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安</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镇</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sz w:val="28"/>
                <w:szCs w:val="28"/>
              </w:rPr>
              <w:t>14</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东</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雷</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sz w:val="28"/>
                <w:szCs w:val="28"/>
              </w:rPr>
              <w:t>15</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交</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警</w:t>
            </w:r>
            <w:r>
              <w:rPr>
                <w:rFonts w:ascii="仿宋" w:eastAsia="仿宋" w:hAnsi="仿宋" w:cs="仿宋"/>
                <w:color w:val="000000"/>
                <w:kern w:val="0"/>
                <w:sz w:val="28"/>
                <w:szCs w:val="28"/>
                <w:lang w:bidi="ar"/>
              </w:rPr>
              <w:t xml:space="preserve"> </w:t>
            </w:r>
            <w:r>
              <w:rPr>
                <w:rFonts w:ascii="仿宋" w:eastAsia="仿宋" w:hAnsi="仿宋" w:cs="仿宋" w:hint="eastAsia"/>
                <w:color w:val="000000"/>
                <w:kern w:val="0"/>
                <w:sz w:val="28"/>
                <w:szCs w:val="28"/>
                <w:lang w:bidi="ar"/>
              </w:rPr>
              <w:t>队</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16</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16</w:t>
            </w: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16</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sz w:val="28"/>
                <w:szCs w:val="28"/>
              </w:rPr>
              <w:t>16</w:t>
            </w:r>
          </w:p>
        </w:tc>
        <w:tc>
          <w:tcPr>
            <w:tcW w:w="150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ind w:leftChars="-56" w:left="-118" w:rightChars="-46" w:right="-97"/>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住房和城乡建设管理局</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B40A96">
            <w:pPr>
              <w:widowControl/>
              <w:spacing w:line="500" w:lineRule="exact"/>
              <w:jc w:val="center"/>
              <w:textAlignment w:val="center"/>
              <w:rPr>
                <w:rFonts w:ascii="仿宋" w:eastAsia="仿宋" w:hAnsi="仿宋" w:cs="仿宋"/>
                <w:color w:val="000000"/>
                <w:kern w:val="0"/>
                <w:sz w:val="28"/>
                <w:szCs w:val="28"/>
                <w:lang w:bidi="ar"/>
              </w:rPr>
            </w:pP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2001</w:t>
            </w: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1831</w:t>
            </w: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170</w:t>
            </w: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2001</w:t>
            </w:r>
          </w:p>
        </w:tc>
      </w:tr>
      <w:tr w:rsidR="00B40A96">
        <w:trPr>
          <w:trHeight w:val="102"/>
          <w:jc w:val="center"/>
        </w:trPr>
        <w:tc>
          <w:tcPr>
            <w:tcW w:w="740" w:type="dxa"/>
            <w:tcBorders>
              <w:top w:val="single" w:sz="4" w:space="0" w:color="000000"/>
              <w:left w:val="single" w:sz="4" w:space="0" w:color="000000"/>
              <w:bottom w:val="single" w:sz="4" w:space="0" w:color="000000"/>
              <w:right w:val="single" w:sz="4" w:space="0" w:color="auto"/>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sz w:val="28"/>
                <w:szCs w:val="28"/>
              </w:rPr>
              <w:t>17</w:t>
            </w:r>
          </w:p>
        </w:tc>
        <w:tc>
          <w:tcPr>
            <w:tcW w:w="1502"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hint="eastAsia"/>
                <w:color w:val="000000"/>
                <w:kern w:val="0"/>
                <w:sz w:val="28"/>
                <w:szCs w:val="28"/>
                <w:lang w:bidi="ar"/>
              </w:rPr>
              <w:t>合计</w:t>
            </w:r>
          </w:p>
        </w:tc>
        <w:tc>
          <w:tcPr>
            <w:tcW w:w="852"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1965</w:t>
            </w:r>
          </w:p>
        </w:tc>
        <w:tc>
          <w:tcPr>
            <w:tcW w:w="1190"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sz w:val="28"/>
                <w:szCs w:val="28"/>
              </w:rPr>
            </w:pPr>
            <w:r>
              <w:rPr>
                <w:rFonts w:ascii="仿宋" w:eastAsia="仿宋" w:hAnsi="仿宋" w:cs="仿宋"/>
                <w:color w:val="000000"/>
                <w:kern w:val="0"/>
                <w:sz w:val="28"/>
                <w:szCs w:val="28"/>
                <w:lang w:bidi="ar"/>
              </w:rPr>
              <w:t>1949</w:t>
            </w:r>
          </w:p>
        </w:tc>
        <w:tc>
          <w:tcPr>
            <w:tcW w:w="1207" w:type="dxa"/>
            <w:tcBorders>
              <w:top w:val="single" w:sz="4" w:space="0" w:color="000000"/>
              <w:left w:val="single" w:sz="4" w:space="0" w:color="000000"/>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16</w:t>
            </w:r>
          </w:p>
        </w:tc>
        <w:tc>
          <w:tcPr>
            <w:tcW w:w="885" w:type="dxa"/>
            <w:tcBorders>
              <w:top w:val="single" w:sz="4" w:space="0" w:color="000000"/>
              <w:left w:val="single" w:sz="4" w:space="0" w:color="000000"/>
              <w:bottom w:val="single" w:sz="4" w:space="0" w:color="000000"/>
              <w:right w:val="single" w:sz="4" w:space="0" w:color="auto"/>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2001</w:t>
            </w:r>
          </w:p>
        </w:tc>
        <w:tc>
          <w:tcPr>
            <w:tcW w:w="867"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1831</w:t>
            </w:r>
          </w:p>
        </w:tc>
        <w:tc>
          <w:tcPr>
            <w:tcW w:w="869" w:type="dxa"/>
            <w:tcBorders>
              <w:top w:val="single" w:sz="4" w:space="0" w:color="000000"/>
              <w:left w:val="single" w:sz="4" w:space="0" w:color="000000"/>
              <w:bottom w:val="single" w:sz="4" w:space="0" w:color="000000"/>
              <w:right w:val="single" w:sz="4" w:space="0" w:color="auto"/>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t>170</w:t>
            </w:r>
          </w:p>
        </w:tc>
        <w:tc>
          <w:tcPr>
            <w:tcW w:w="1075" w:type="dxa"/>
            <w:tcBorders>
              <w:top w:val="single" w:sz="4" w:space="0" w:color="000000"/>
              <w:left w:val="single" w:sz="4" w:space="0" w:color="auto"/>
              <w:bottom w:val="single" w:sz="4" w:space="0" w:color="000000"/>
              <w:right w:val="single" w:sz="4" w:space="0" w:color="000000"/>
            </w:tcBorders>
            <w:noWrap/>
            <w:vAlign w:val="center"/>
          </w:tcPr>
          <w:p w:rsidR="00B40A96" w:rsidRDefault="00A124BE">
            <w:pPr>
              <w:widowControl/>
              <w:spacing w:line="500" w:lineRule="exact"/>
              <w:jc w:val="center"/>
              <w:textAlignment w:val="center"/>
              <w:rPr>
                <w:rFonts w:ascii="仿宋" w:eastAsia="仿宋" w:hAnsi="仿宋" w:cs="仿宋"/>
                <w:color w:val="000000"/>
                <w:kern w:val="0"/>
                <w:sz w:val="28"/>
                <w:szCs w:val="28"/>
                <w:lang w:bidi="ar"/>
              </w:rPr>
            </w:pPr>
            <w:r>
              <w:rPr>
                <w:rFonts w:ascii="仿宋" w:eastAsia="仿宋" w:hAnsi="仿宋" w:cs="仿宋"/>
                <w:color w:val="000000"/>
                <w:kern w:val="0"/>
                <w:sz w:val="28"/>
                <w:szCs w:val="28"/>
                <w:lang w:bidi="ar"/>
              </w:rPr>
              <w:fldChar w:fldCharType="begin"/>
            </w:r>
            <w:r>
              <w:rPr>
                <w:rFonts w:ascii="仿宋" w:eastAsia="仿宋" w:hAnsi="仿宋" w:cs="仿宋"/>
                <w:color w:val="000000"/>
                <w:kern w:val="0"/>
                <w:sz w:val="28"/>
                <w:szCs w:val="28"/>
                <w:lang w:bidi="ar"/>
              </w:rPr>
              <w:instrText xml:space="preserve"> = sum(I3:I16) \* MERGEFORMAT </w:instrText>
            </w:r>
            <w:r>
              <w:rPr>
                <w:rFonts w:ascii="仿宋" w:eastAsia="仿宋" w:hAnsi="仿宋" w:cs="仿宋"/>
                <w:color w:val="000000"/>
                <w:kern w:val="0"/>
                <w:sz w:val="28"/>
                <w:szCs w:val="28"/>
                <w:lang w:bidi="ar"/>
              </w:rPr>
              <w:fldChar w:fldCharType="separate"/>
            </w:r>
            <w:r>
              <w:rPr>
                <w:rFonts w:ascii="仿宋" w:eastAsia="仿宋" w:hAnsi="仿宋" w:cs="仿宋"/>
                <w:color w:val="000000"/>
                <w:kern w:val="0"/>
                <w:sz w:val="28"/>
                <w:szCs w:val="28"/>
                <w:lang w:bidi="ar"/>
              </w:rPr>
              <w:t>3966</w:t>
            </w:r>
            <w:r>
              <w:rPr>
                <w:rFonts w:ascii="仿宋" w:eastAsia="仿宋" w:hAnsi="仿宋" w:cs="仿宋"/>
                <w:color w:val="000000"/>
                <w:kern w:val="0"/>
                <w:sz w:val="28"/>
                <w:szCs w:val="28"/>
                <w:lang w:bidi="ar"/>
              </w:rPr>
              <w:fldChar w:fldCharType="end"/>
            </w:r>
          </w:p>
        </w:tc>
      </w:tr>
    </w:tbl>
    <w:p w:rsidR="00B40A96" w:rsidRDefault="00B40A96">
      <w:pPr>
        <w:autoSpaceDE w:val="0"/>
        <w:autoSpaceDN w:val="0"/>
        <w:adjustRightInd w:val="0"/>
        <w:spacing w:line="640" w:lineRule="exact"/>
      </w:pPr>
    </w:p>
    <w:sectPr w:rsidR="00B40A96">
      <w:footerReference w:type="even" r:id="rId7"/>
      <w:footerReference w:type="default" r:id="rId8"/>
      <w:pgSz w:w="11906" w:h="16838"/>
      <w:pgMar w:top="2098" w:right="1474" w:bottom="1701" w:left="1588" w:header="851" w:footer="1361"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24BE" w:rsidRDefault="00A124BE">
      <w:r>
        <w:separator/>
      </w:r>
    </w:p>
  </w:endnote>
  <w:endnote w:type="continuationSeparator" w:id="0">
    <w:p w:rsidR="00A124BE" w:rsidRDefault="00A124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A96" w:rsidRDefault="00A124BE">
    <w:pPr>
      <w:pStyle w:val="a3"/>
      <w:framePr w:wrap="around" w:vAnchor="text" w:hAnchor="margin" w:xAlign="outside" w:y="1"/>
      <w:rPr>
        <w:rStyle w:val="a4"/>
        <w:rFonts w:ascii="宋体" w:hAnsi="宋体"/>
        <w:sz w:val="28"/>
        <w:szCs w:val="28"/>
      </w:rPr>
    </w:pPr>
    <w:r>
      <w:rPr>
        <w:rStyle w:val="a4"/>
        <w:rFonts w:ascii="宋体" w:hAnsi="宋体" w:hint="eastAsia"/>
        <w:color w:val="FFFFFF"/>
        <w:sz w:val="28"/>
        <w:szCs w:val="28"/>
      </w:rPr>
      <w:t>H</w:t>
    </w:r>
    <w:r>
      <w:rPr>
        <w:rStyle w:val="a4"/>
        <w:rFonts w:ascii="宋体" w:hAnsi="宋体" w:hint="eastAsia"/>
        <w:sz w:val="28"/>
        <w:szCs w:val="28"/>
      </w:rPr>
      <w:t>－</w:t>
    </w:r>
    <w:r>
      <w:rPr>
        <w:rStyle w:val="a4"/>
        <w:rFonts w:ascii="宋体" w:hAnsi="宋体"/>
        <w:sz w:val="28"/>
        <w:szCs w:val="28"/>
      </w:rPr>
      <w:fldChar w:fldCharType="begin"/>
    </w:r>
    <w:r>
      <w:rPr>
        <w:rStyle w:val="a4"/>
        <w:rFonts w:ascii="宋体" w:hAnsi="宋体"/>
        <w:sz w:val="28"/>
        <w:szCs w:val="28"/>
      </w:rPr>
      <w:instrText xml:space="preserve">PAGE  </w:instrText>
    </w:r>
    <w:r>
      <w:rPr>
        <w:rStyle w:val="a4"/>
        <w:rFonts w:ascii="宋体" w:hAnsi="宋体"/>
        <w:sz w:val="28"/>
        <w:szCs w:val="28"/>
      </w:rPr>
      <w:fldChar w:fldCharType="separate"/>
    </w:r>
    <w:r>
      <w:rPr>
        <w:rStyle w:val="a4"/>
        <w:rFonts w:ascii="宋体" w:hAnsi="宋体"/>
        <w:sz w:val="28"/>
        <w:szCs w:val="28"/>
      </w:rPr>
      <w:t>10</w:t>
    </w:r>
    <w:r>
      <w:rPr>
        <w:rStyle w:val="a4"/>
        <w:rFonts w:ascii="宋体" w:hAnsi="宋体"/>
        <w:sz w:val="28"/>
        <w:szCs w:val="28"/>
      </w:rPr>
      <w:fldChar w:fldCharType="end"/>
    </w:r>
    <w:r>
      <w:rPr>
        <w:rStyle w:val="a4"/>
        <w:rFonts w:ascii="宋体" w:hAnsi="宋体" w:hint="eastAsia"/>
        <w:sz w:val="28"/>
        <w:szCs w:val="28"/>
      </w:rPr>
      <w:t>－</w:t>
    </w:r>
  </w:p>
  <w:p w:rsidR="00B40A96" w:rsidRDefault="00B40A96">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0A96" w:rsidRDefault="00B40A96">
    <w:pPr>
      <w:pStyle w:val="a3"/>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24BE" w:rsidRDefault="00A124BE">
      <w:r>
        <w:separator/>
      </w:r>
    </w:p>
  </w:footnote>
  <w:footnote w:type="continuationSeparator" w:id="0">
    <w:p w:rsidR="00A124BE" w:rsidRDefault="00A124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E1M2E5OTM1NGMwMjZhMzJjNGRkODk2ZWQzNDQ3MTEifQ=="/>
  </w:docVars>
  <w:rsids>
    <w:rsidRoot w:val="3DC3686B"/>
    <w:rsid w:val="00A124BE"/>
    <w:rsid w:val="00B40A96"/>
    <w:rsid w:val="00CD7CBA"/>
    <w:rsid w:val="108532B0"/>
    <w:rsid w:val="3DC368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36F421"/>
  <w15:docId w15:val="{AE6E8399-7369-436C-BFD3-6A7CC5781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character" w:styleId="a4">
    <w:name w:val="page number"/>
    <w:basedOn w:val="a0"/>
  </w:style>
  <w:style w:type="paragraph" w:customStyle="1" w:styleId="CharCharChar1Char">
    <w:name w:val="Char Char Char1 Char"/>
    <w:basedOn w:val="a"/>
    <w:pPr>
      <w:tabs>
        <w:tab w:val="left" w:pos="360"/>
      </w:tabs>
    </w:pPr>
    <w:rPr>
      <w:rFonts w:ascii="Times New Roman" w:hAnsi="Times New Roman"/>
      <w:szCs w:val="20"/>
    </w:rPr>
  </w:style>
  <w:style w:type="character" w:styleId="a5">
    <w:name w:val="Hyperlink"/>
    <w:basedOn w:val="a0"/>
    <w:rsid w:val="00CD7C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utai.gov.cn/wtxzw/zwgk/wj/xzfwj/202306/t20230605_3876576.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797</Words>
  <Characters>4546</Characters>
  <Application>Microsoft Office Word</Application>
  <DocSecurity>0</DocSecurity>
  <Lines>37</Lines>
  <Paragraphs>10</Paragraphs>
  <ScaleCrop>false</ScaleCrop>
  <Company>微软中国</Company>
  <LinksUpToDate>false</LinksUpToDate>
  <CharactersWithSpaces>5333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dc:creator>
  <cp:lastModifiedBy>微软用户</cp:lastModifiedBy>
  <cp:revision>2</cp:revision>
  <dcterms:created xsi:type="dcterms:W3CDTF">2023-06-07T00:45:00Z</dcterms:created>
  <dcterms:modified xsi:type="dcterms:W3CDTF">2023-06-07T00:45:00Z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42C7FB406B5945D880F02589B394158C_11</vt:lpwstr>
  </property>
</Properties>
</file>