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BCC" w:rsidRDefault="00E96BCC" w:rsidP="00E96BCC">
      <w:r>
        <w:fldChar w:fldCharType="begin"/>
      </w:r>
      <w:r>
        <w:instrText xml:space="preserve"> HYPERLINK "</w:instrText>
      </w:r>
      <w:r w:rsidRPr="00E96BCC">
        <w:instrText>https://www.chengde.gov.cn/art/2023/4/10/art_11903_937422.html</w:instrText>
      </w:r>
      <w:r>
        <w:instrText xml:space="preserve">" </w:instrText>
      </w:r>
      <w:r>
        <w:fldChar w:fldCharType="separate"/>
      </w:r>
      <w:r w:rsidRPr="00AC4E63">
        <w:rPr>
          <w:rStyle w:val="a3"/>
        </w:rPr>
        <w:t>https://www.chengde.gov.cn/art/2023/4/10/art_11903_937422.html</w:t>
      </w:r>
      <w:r>
        <w:fldChar w:fldCharType="end"/>
      </w:r>
    </w:p>
    <w:p w:rsidR="00E96BCC" w:rsidRDefault="00E96BCC" w:rsidP="00E96BCC">
      <w:r>
        <w:rPr>
          <w:rFonts w:hint="eastAsia"/>
        </w:rPr>
        <w:t>日前，河北省承德市人民政府办公室关于印发</w:t>
      </w:r>
      <w:r>
        <w:t>2023年度冬季清洁取暖项目工作推进方案的通知明确，在巩固2021年及2022年清洁取暖项目改造成果基础上，积极推进2023年热源侧和用户侧改造，全面完成国家三年清洁取暖项目总体任务量。2023年热源侧生物质取暖改造总任务数3.8113万户，各县（市、区）可根据当地实际情况，对具备改造条件的区域优先采用接入集中供热或电取暖改造技术路线，技术路线及对应任务量的调整需由各县（市、区）政府上报，经市直责任部门同意，报市政府审批后，可按新技术路线实施并核减2023年生物质取暖</w:t>
      </w:r>
      <w:r>
        <w:rPr>
          <w:rFonts w:hint="eastAsia"/>
        </w:rPr>
        <w:t>任务量；用户侧既有建筑能效提升任务</w:t>
      </w:r>
      <w:r>
        <w:t>76.34万平方米。</w:t>
      </w:r>
    </w:p>
    <w:p w:rsidR="00E96BCC" w:rsidRDefault="00E96BCC" w:rsidP="00E96BCC"/>
    <w:p w:rsidR="00E96BCC" w:rsidRDefault="00E96BCC" w:rsidP="00E96BCC">
      <w:r>
        <w:rPr>
          <w:rFonts w:hint="eastAsia"/>
        </w:rPr>
        <w:t>方案指出，坚持“以能定改，循序渐进”的原则，统筹考虑本地采暖期实际、技术路径可行性和资金投入能力，做到能源供得上、财政补得起、群众可接受，积极稳妥有序推进清洁取暖项目工作。坚持“因地制宜、实事求是”原则，在取暖方式的选择上坚持实事求是，对集中供热管网可以覆盖的区域优先接入集中供热管网，对电力能够保障到位的优先实施电代煤取暖，对无法实施接入集中供热管网或电代煤取暖的，采用生物质取暖，主城区原则上不再推广分户式生物质取暖。对具备地热能、太阳能、工业余热、生物质锅炉集中供暖条件的，可积极推广试点建设。对清洁取暖尚未覆盖的，继续采用洁净煤取暖兜底。</w:t>
      </w:r>
    </w:p>
    <w:p w:rsidR="00E96BCC" w:rsidRDefault="00E96BCC" w:rsidP="00E96BCC"/>
    <w:p w:rsidR="00E96BCC" w:rsidRDefault="00E96BCC" w:rsidP="00E96BCC">
      <w:r>
        <w:rPr>
          <w:rFonts w:hint="eastAsia"/>
        </w:rPr>
        <w:t>方案要求，坚持“整村推进、集中连片”原则，按照政府引导、农民主体、合理规划、示范引领、统一实施的方式推进清洁取暖项目工作，不搞遍地开花、分散建设。制定能源保供实施计划，强化集中供热、电网、生物质等清洁能源保供措施，为实施清洁取暖奠定坚实基础，同时按用户需求对</w:t>
      </w:r>
      <w:r>
        <w:t>2021年及2022年已实施清洁取暖改造户的设备与炉具进行维护与检修。严把2023年炉具质量关，做好采购、施工、验收全过程闭环监管，严格优选有实力、有信誉、有经验的企业，全力保障清洁取暖改造质量。</w:t>
      </w:r>
    </w:p>
    <w:p w:rsidR="00E96BCC" w:rsidRDefault="00E96BCC" w:rsidP="00E96BCC"/>
    <w:p w:rsidR="00E96BCC" w:rsidRPr="00E96BCC" w:rsidRDefault="00E96BCC" w:rsidP="00E96BCC">
      <w:pPr>
        <w:jc w:val="center"/>
        <w:rPr>
          <w:b/>
        </w:rPr>
      </w:pPr>
      <w:r w:rsidRPr="00E96BCC">
        <w:rPr>
          <w:rFonts w:hint="eastAsia"/>
          <w:b/>
        </w:rPr>
        <w:t>承德市人民政府办公室关于印发</w:t>
      </w:r>
      <w:r w:rsidRPr="00E96BCC">
        <w:rPr>
          <w:b/>
        </w:rPr>
        <w:t>2023年度冬季清洁取暖项目工作推进方案的通知</w:t>
      </w:r>
    </w:p>
    <w:p w:rsidR="00E96BCC" w:rsidRPr="00E96BCC" w:rsidRDefault="00E96BCC" w:rsidP="00E96BCC">
      <w:pPr>
        <w:jc w:val="center"/>
        <w:rPr>
          <w:b/>
        </w:rPr>
      </w:pPr>
      <w:r w:rsidRPr="00E96BCC">
        <w:rPr>
          <w:rFonts w:hint="eastAsia"/>
          <w:b/>
        </w:rPr>
        <w:t>承市政办字〔</w:t>
      </w:r>
      <w:r w:rsidRPr="00E96BCC">
        <w:rPr>
          <w:b/>
        </w:rPr>
        <w:t>2023〕22号</w:t>
      </w:r>
    </w:p>
    <w:p w:rsidR="00E96BCC" w:rsidRDefault="00E96BCC" w:rsidP="00E96BCC"/>
    <w:p w:rsidR="00E96BCC" w:rsidRDefault="00E96BCC" w:rsidP="00E96BCC"/>
    <w:p w:rsidR="00E96BCC" w:rsidRPr="00E96BCC" w:rsidRDefault="00E96BCC" w:rsidP="00E96BCC">
      <w:r w:rsidRPr="00E96BCC">
        <w:rPr>
          <w:rFonts w:hint="eastAsia"/>
        </w:rPr>
        <w:t>各县（市、区）、自治县人民政府，承德高新区管委会、御道口牧场管理区管委会，市直有关部门：</w:t>
      </w:r>
    </w:p>
    <w:p w:rsidR="00E96BCC" w:rsidRPr="00E96BCC" w:rsidRDefault="00E96BCC" w:rsidP="00E96BCC">
      <w:pPr>
        <w:rPr>
          <w:rFonts w:hint="eastAsia"/>
        </w:rPr>
      </w:pPr>
      <w:r w:rsidRPr="00E96BCC">
        <w:rPr>
          <w:rFonts w:hint="eastAsia"/>
        </w:rPr>
        <w:t>《2023年度冬季清洁取暖项目工作推进方案》已经市政府同意，现印发给你们，请认真贯彻落实。</w:t>
      </w:r>
    </w:p>
    <w:p w:rsidR="00E96BCC" w:rsidRPr="00E96BCC" w:rsidRDefault="00E96BCC" w:rsidP="00E96BCC">
      <w:pPr>
        <w:rPr>
          <w:rFonts w:hint="eastAsia"/>
        </w:rPr>
      </w:pPr>
      <w:r w:rsidRPr="00E96BCC">
        <w:rPr>
          <w:rFonts w:hint="eastAsia"/>
        </w:rPr>
        <w:t> </w:t>
      </w:r>
    </w:p>
    <w:p w:rsidR="00E96BCC" w:rsidRPr="00E96BCC" w:rsidRDefault="00E96BCC" w:rsidP="00E96BCC">
      <w:pPr>
        <w:rPr>
          <w:rFonts w:hint="eastAsia"/>
        </w:rPr>
      </w:pPr>
      <w:r w:rsidRPr="00E96BCC">
        <w:t> </w:t>
      </w:r>
    </w:p>
    <w:p w:rsidR="00E96BCC" w:rsidRPr="00E96BCC" w:rsidRDefault="00E96BCC" w:rsidP="00E96BCC">
      <w:pPr>
        <w:rPr>
          <w:rFonts w:hint="eastAsia"/>
        </w:rPr>
      </w:pPr>
      <w:r w:rsidRPr="00E96BCC">
        <w:rPr>
          <w:rFonts w:hint="eastAsia"/>
        </w:rPr>
        <w:t> </w:t>
      </w:r>
    </w:p>
    <w:p w:rsidR="00E96BCC" w:rsidRPr="00E96BCC" w:rsidRDefault="00E96BCC" w:rsidP="00E96BCC">
      <w:pPr>
        <w:jc w:val="right"/>
        <w:rPr>
          <w:rFonts w:hint="eastAsia"/>
        </w:rPr>
      </w:pPr>
      <w:r w:rsidRPr="00E96BCC">
        <w:rPr>
          <w:rFonts w:hint="eastAsia"/>
        </w:rPr>
        <w:t>承德市人民政府办公室</w:t>
      </w:r>
    </w:p>
    <w:p w:rsidR="00E96BCC" w:rsidRPr="00E96BCC" w:rsidRDefault="00E96BCC" w:rsidP="00E96BCC">
      <w:pPr>
        <w:jc w:val="right"/>
        <w:rPr>
          <w:rFonts w:hint="eastAsia"/>
        </w:rPr>
      </w:pPr>
      <w:r w:rsidRPr="00E96BCC">
        <w:rPr>
          <w:rFonts w:hint="eastAsia"/>
        </w:rPr>
        <w:t>2023年4月7日</w:t>
      </w:r>
    </w:p>
    <w:p w:rsidR="00E96BCC" w:rsidRPr="00E96BCC" w:rsidRDefault="00E96BCC" w:rsidP="00E96BCC">
      <w:pPr>
        <w:rPr>
          <w:rFonts w:hint="eastAsia"/>
        </w:rPr>
      </w:pPr>
      <w:r w:rsidRPr="00E96BCC">
        <w:rPr>
          <w:rFonts w:hint="eastAsia"/>
        </w:rPr>
        <w:t> </w:t>
      </w:r>
    </w:p>
    <w:p w:rsidR="00E96BCC" w:rsidRPr="00E96BCC" w:rsidRDefault="00E96BCC" w:rsidP="00E96BCC">
      <w:pPr>
        <w:rPr>
          <w:rFonts w:hint="eastAsia"/>
        </w:rPr>
      </w:pPr>
      <w:r w:rsidRPr="00E96BCC">
        <w:rPr>
          <w:rFonts w:hint="eastAsia"/>
        </w:rPr>
        <w:t>（此件主动公开）</w:t>
      </w:r>
    </w:p>
    <w:p w:rsidR="00E96BCC" w:rsidRDefault="00E96BCC" w:rsidP="00E96BCC">
      <w:r w:rsidRPr="00E96BCC">
        <w:rPr>
          <w:rFonts w:hint="eastAsia"/>
        </w:rPr>
        <w:t> </w:t>
      </w:r>
    </w:p>
    <w:p w:rsidR="00E96BCC" w:rsidRPr="00E96BCC" w:rsidRDefault="00E96BCC" w:rsidP="00E96BCC">
      <w:pPr>
        <w:rPr>
          <w:rFonts w:hint="eastAsia"/>
        </w:rPr>
      </w:pPr>
    </w:p>
    <w:p w:rsidR="00E96BCC" w:rsidRPr="00E96BCC" w:rsidRDefault="00E96BCC" w:rsidP="00E96BCC">
      <w:pPr>
        <w:rPr>
          <w:rFonts w:hint="eastAsia"/>
        </w:rPr>
      </w:pPr>
      <w:r w:rsidRPr="00E96BCC">
        <w:rPr>
          <w:rFonts w:hint="eastAsia"/>
        </w:rPr>
        <w:t> </w:t>
      </w:r>
    </w:p>
    <w:p w:rsidR="00E96BCC" w:rsidRPr="00E96BCC" w:rsidRDefault="00E96BCC" w:rsidP="00E96BCC">
      <w:pPr>
        <w:rPr>
          <w:rFonts w:hint="eastAsia"/>
        </w:rPr>
      </w:pPr>
      <w:r w:rsidRPr="00E96BCC">
        <w:rPr>
          <w:rFonts w:hint="eastAsia"/>
        </w:rPr>
        <w:br/>
      </w:r>
    </w:p>
    <w:p w:rsidR="00E96BCC" w:rsidRPr="00E96BCC" w:rsidRDefault="00E96BCC" w:rsidP="00E96BCC">
      <w:pPr>
        <w:jc w:val="center"/>
        <w:rPr>
          <w:rFonts w:hint="eastAsia"/>
          <w:b/>
        </w:rPr>
      </w:pPr>
      <w:bookmarkStart w:id="0" w:name="_GoBack"/>
      <w:r w:rsidRPr="00E96BCC">
        <w:rPr>
          <w:rFonts w:hint="eastAsia"/>
          <w:b/>
        </w:rPr>
        <w:lastRenderedPageBreak/>
        <w:t>2023年度冬季清洁取暖项目工作推进方案</w:t>
      </w:r>
    </w:p>
    <w:bookmarkEnd w:id="0"/>
    <w:p w:rsidR="00E96BCC" w:rsidRPr="00E96BCC" w:rsidRDefault="00E96BCC" w:rsidP="00E96BCC">
      <w:pPr>
        <w:rPr>
          <w:rFonts w:hint="eastAsia"/>
        </w:rPr>
      </w:pPr>
      <w:r w:rsidRPr="00E96BCC">
        <w:rPr>
          <w:rFonts w:hint="eastAsia"/>
        </w:rPr>
        <w:t> </w:t>
      </w:r>
    </w:p>
    <w:p w:rsidR="00E96BCC" w:rsidRPr="00E96BCC" w:rsidRDefault="00E96BCC" w:rsidP="00E96BCC">
      <w:pPr>
        <w:rPr>
          <w:rFonts w:hint="eastAsia"/>
        </w:rPr>
      </w:pPr>
      <w:r w:rsidRPr="00E96BCC">
        <w:rPr>
          <w:rFonts w:hint="eastAsia"/>
        </w:rPr>
        <w:t>按照《承德市冬季清洁取暖项目总体实施方案（2021-2023）》（承市政办字〔2021〕58号）要求，为全面完成全市冬季清洁取暖项目工作，制定2023年度冬季清洁取暖项目工作推进方案。</w:t>
      </w:r>
    </w:p>
    <w:p w:rsidR="00E96BCC" w:rsidRPr="00E96BCC" w:rsidRDefault="00E96BCC" w:rsidP="00E96BCC">
      <w:pPr>
        <w:rPr>
          <w:rFonts w:hint="eastAsia"/>
        </w:rPr>
      </w:pPr>
      <w:r w:rsidRPr="00E96BCC">
        <w:rPr>
          <w:rFonts w:hint="eastAsia"/>
        </w:rPr>
        <w:t>一、指导思想</w:t>
      </w:r>
    </w:p>
    <w:p w:rsidR="00E96BCC" w:rsidRPr="00E96BCC" w:rsidRDefault="00E96BCC" w:rsidP="00E96BCC">
      <w:pPr>
        <w:rPr>
          <w:rFonts w:hint="eastAsia"/>
        </w:rPr>
      </w:pPr>
      <w:r w:rsidRPr="00E96BCC">
        <w:rPr>
          <w:rFonts w:hint="eastAsia"/>
        </w:rPr>
        <w:t>坚持以习近平生态文明思想为指导，完整、准确、全面贯彻新发展理念，认真落实党中央、国务院关于深入推进污染防治攻坚战、</w:t>
      </w:r>
      <w:proofErr w:type="gramStart"/>
      <w:r w:rsidRPr="00E96BCC">
        <w:rPr>
          <w:rFonts w:hint="eastAsia"/>
        </w:rPr>
        <w:t>碳达峰</w:t>
      </w:r>
      <w:proofErr w:type="gramEnd"/>
      <w:r w:rsidRPr="00E96BCC">
        <w:rPr>
          <w:rFonts w:hint="eastAsia"/>
        </w:rPr>
        <w:t>和</w:t>
      </w:r>
      <w:proofErr w:type="gramStart"/>
      <w:r w:rsidRPr="00E96BCC">
        <w:rPr>
          <w:rFonts w:hint="eastAsia"/>
        </w:rPr>
        <w:t>碳中和</w:t>
      </w:r>
      <w:proofErr w:type="gramEnd"/>
      <w:r w:rsidRPr="00E96BCC">
        <w:rPr>
          <w:rFonts w:hint="eastAsia"/>
        </w:rPr>
        <w:t>的决策部署，以及省委省政府、市委市政府相关工作要求，将冬季清洁取暖项目作为减</w:t>
      </w:r>
      <w:proofErr w:type="gramStart"/>
      <w:r w:rsidRPr="00E96BCC">
        <w:rPr>
          <w:rFonts w:hint="eastAsia"/>
        </w:rPr>
        <w:t>污降碳</w:t>
      </w:r>
      <w:proofErr w:type="gramEnd"/>
      <w:r w:rsidRPr="00E96BCC">
        <w:rPr>
          <w:rFonts w:hint="eastAsia"/>
        </w:rPr>
        <w:t>的重要抓手，持续推进集中供暖、电代煤、生物质取暖、既有建筑能效提升等多元化改造，高标准、高质量完成年度清洁取暖任务目标，全面完成全市三年总体既定目标任务，确保群众安全、温暖、清洁过冬，为全市“十四五”期间环境空气质量持续改善，全面推动“京津冀生态环境支撑区”建设提供有力支撑。</w:t>
      </w:r>
    </w:p>
    <w:p w:rsidR="00E96BCC" w:rsidRPr="00E96BCC" w:rsidRDefault="00E96BCC" w:rsidP="00E96BCC">
      <w:pPr>
        <w:rPr>
          <w:rFonts w:hint="eastAsia"/>
        </w:rPr>
      </w:pPr>
      <w:r w:rsidRPr="00E96BCC">
        <w:rPr>
          <w:rFonts w:hint="eastAsia"/>
        </w:rPr>
        <w:t>二、基本原则</w:t>
      </w:r>
    </w:p>
    <w:p w:rsidR="00E96BCC" w:rsidRPr="00E96BCC" w:rsidRDefault="00E96BCC" w:rsidP="00E96BCC">
      <w:pPr>
        <w:rPr>
          <w:rFonts w:hint="eastAsia"/>
        </w:rPr>
      </w:pPr>
      <w:r w:rsidRPr="00E96BCC">
        <w:rPr>
          <w:rFonts w:hint="eastAsia"/>
        </w:rPr>
        <w:t>坚持“以能定改，循序渐进”的原则，统筹考虑本地采暖期实际、技术路径可行性和资金投入能力，做到能源供得上、财政补得起、群众可接受，积极稳妥有序推进清洁取暖项目工作。</w:t>
      </w:r>
    </w:p>
    <w:p w:rsidR="00E96BCC" w:rsidRPr="00E96BCC" w:rsidRDefault="00E96BCC" w:rsidP="00E96BCC">
      <w:pPr>
        <w:rPr>
          <w:rFonts w:hint="eastAsia"/>
        </w:rPr>
      </w:pPr>
      <w:r w:rsidRPr="00E96BCC">
        <w:rPr>
          <w:rFonts w:hint="eastAsia"/>
        </w:rPr>
        <w:t>坚持“因地制宜、实事求是”原则，在取暖方式的选择上坚持实事求是，对集中供热管网可以覆盖的区域优先接入集中供热管网，对电力能够保障到位的优先实施电代煤取暖，对无法实施接入集中供热管网或电代煤取暖的，采用生物质取暖，主城区原则上不再推广分户式生物质取暖。对具备地热能、太阳能、工业余热、生物质锅炉集中供暖条件的，可积极推广试点建设。对清洁取暖尚未覆盖的，继续采用洁净煤取暖兜底。</w:t>
      </w:r>
    </w:p>
    <w:p w:rsidR="00E96BCC" w:rsidRPr="00E96BCC" w:rsidRDefault="00E96BCC" w:rsidP="00E96BCC">
      <w:pPr>
        <w:rPr>
          <w:rFonts w:hint="eastAsia"/>
        </w:rPr>
      </w:pPr>
      <w:r w:rsidRPr="00E96BCC">
        <w:rPr>
          <w:rFonts w:hint="eastAsia"/>
        </w:rPr>
        <w:t>坚持“整村推进、集中连片”原则，按照政府引导、农民主体、合理规划、示范引领、统一实施的方式推进清洁取暖项目工作，不搞遍地开花、分散建设。</w:t>
      </w:r>
    </w:p>
    <w:p w:rsidR="00E96BCC" w:rsidRPr="00E96BCC" w:rsidRDefault="00E96BCC" w:rsidP="00E96BCC">
      <w:pPr>
        <w:rPr>
          <w:rFonts w:hint="eastAsia"/>
        </w:rPr>
      </w:pPr>
      <w:r w:rsidRPr="00E96BCC">
        <w:rPr>
          <w:rFonts w:hint="eastAsia"/>
        </w:rPr>
        <w:t>三、重点任务和实施步骤</w:t>
      </w:r>
    </w:p>
    <w:p w:rsidR="00E96BCC" w:rsidRPr="00E96BCC" w:rsidRDefault="00E96BCC" w:rsidP="00E96BCC">
      <w:pPr>
        <w:rPr>
          <w:rFonts w:hint="eastAsia"/>
        </w:rPr>
      </w:pPr>
      <w:r w:rsidRPr="00E96BCC">
        <w:rPr>
          <w:rFonts w:hint="eastAsia"/>
        </w:rPr>
        <w:t>全面完成清洁取暖项目工作，在巩固2021年及2022年清洁取暖项目改造成果基础上，积极推进2023年热源侧和用户侧改造，全面完成国家三年清洁取暖项目总体任务量。2023年热源侧生物质取暖改造总任务数3.8113万户，各县（市、区）可根据当地实际情况，对具备改造条件的区域优先采用接入集中供热或电取暖改造技术路线，技术路线及对应任务量的调整需由各县（市、区）政府上报，经市直责任部门同意，报市政府审批后，可按新技术路线实施并核减2023年生物质取暖任务量；用户侧既有建筑能效提升任务76.34万平方米。</w:t>
      </w:r>
    </w:p>
    <w:p w:rsidR="00E96BCC" w:rsidRPr="00E96BCC" w:rsidRDefault="00E96BCC" w:rsidP="00E96BCC">
      <w:pPr>
        <w:rPr>
          <w:rFonts w:hint="eastAsia"/>
        </w:rPr>
      </w:pPr>
      <w:r w:rsidRPr="00E96BCC">
        <w:rPr>
          <w:rFonts w:hint="eastAsia"/>
        </w:rPr>
        <w:t>（一）热源侧改造</w:t>
      </w:r>
    </w:p>
    <w:p w:rsidR="00E96BCC" w:rsidRPr="00E96BCC" w:rsidRDefault="00E96BCC" w:rsidP="00E96BCC">
      <w:pPr>
        <w:rPr>
          <w:rFonts w:hint="eastAsia"/>
        </w:rPr>
      </w:pPr>
      <w:r w:rsidRPr="00E96BCC">
        <w:rPr>
          <w:rFonts w:hint="eastAsia"/>
          <w:b/>
          <w:bCs/>
        </w:rPr>
        <w:t>1.制定方案。</w:t>
      </w:r>
      <w:r w:rsidRPr="00E96BCC">
        <w:rPr>
          <w:rFonts w:hint="eastAsia"/>
        </w:rPr>
        <w:t>市农业农村局按照国家、省市清洁取暖相关政策要求，结合2021年及2022年清洁取暖项目实施情况，在调查摸底的基础上，对生物质取暖项目制定专项实施方案。专项实施方案至少包括计划任务数、工作推进方案，并于4月20日前报市政府同意后下发。（责任单位：市农业农村局）</w:t>
      </w:r>
    </w:p>
    <w:p w:rsidR="00E96BCC" w:rsidRPr="00E96BCC" w:rsidRDefault="00E96BCC" w:rsidP="00E96BCC">
      <w:pPr>
        <w:rPr>
          <w:rFonts w:hint="eastAsia"/>
        </w:rPr>
      </w:pPr>
      <w:r w:rsidRPr="00E96BCC">
        <w:rPr>
          <w:rFonts w:hint="eastAsia"/>
          <w:b/>
          <w:bCs/>
        </w:rPr>
        <w:t>2.确村确户。</w:t>
      </w:r>
      <w:r w:rsidRPr="00E96BCC">
        <w:rPr>
          <w:rFonts w:hint="eastAsia"/>
        </w:rPr>
        <w:t>各县（市、区）对本辖区清洁取暖用户进行摸底，确村确户，建立精</w:t>
      </w:r>
      <w:proofErr w:type="gramStart"/>
      <w:r w:rsidRPr="00E96BCC">
        <w:rPr>
          <w:rFonts w:hint="eastAsia"/>
        </w:rPr>
        <w:t>准确户台账</w:t>
      </w:r>
      <w:proofErr w:type="gramEnd"/>
      <w:r w:rsidRPr="00E96BCC">
        <w:rPr>
          <w:rFonts w:hint="eastAsia"/>
        </w:rPr>
        <w:t>，保持不低于本年度任务总数，5月10日前</w:t>
      </w:r>
      <w:proofErr w:type="gramStart"/>
      <w:r w:rsidRPr="00E96BCC">
        <w:rPr>
          <w:rFonts w:hint="eastAsia"/>
        </w:rPr>
        <w:t>将确村确户</w:t>
      </w:r>
      <w:proofErr w:type="gramEnd"/>
      <w:r w:rsidRPr="00E96BCC">
        <w:rPr>
          <w:rFonts w:hint="eastAsia"/>
        </w:rPr>
        <w:t>情况上报市农业农村局，5月20日前市农业农村局完成审核确认，</w:t>
      </w:r>
      <w:proofErr w:type="gramStart"/>
      <w:r w:rsidRPr="00E96BCC">
        <w:rPr>
          <w:rFonts w:hint="eastAsia"/>
        </w:rPr>
        <w:t>将确村确户</w:t>
      </w:r>
      <w:proofErr w:type="gramEnd"/>
      <w:r w:rsidRPr="00E96BCC">
        <w:rPr>
          <w:rFonts w:hint="eastAsia"/>
        </w:rPr>
        <w:t>情况报市政府。（牵头部门：市农业农村局；责任单位：有关县市区人民政府，承德高新区管委会、御道口牧场管理区管委会）</w:t>
      </w:r>
    </w:p>
    <w:p w:rsidR="00E96BCC" w:rsidRPr="00E96BCC" w:rsidRDefault="00E96BCC" w:rsidP="00E96BCC">
      <w:pPr>
        <w:rPr>
          <w:rFonts w:hint="eastAsia"/>
        </w:rPr>
      </w:pPr>
      <w:r w:rsidRPr="00E96BCC">
        <w:rPr>
          <w:rFonts w:hint="eastAsia"/>
          <w:b/>
          <w:bCs/>
        </w:rPr>
        <w:t>3.组织采购</w:t>
      </w:r>
      <w:r w:rsidRPr="00E96BCC">
        <w:rPr>
          <w:rFonts w:hint="eastAsia"/>
        </w:rPr>
        <w:t>。有关县（市、区）按照“统一组织、统一标准、统一采购”的原则，根据采购规模优选采购方式，提高采购效率，于7月20日前完成生物质炉具、生物质燃料等采购工作。采购过程中，应参考2021年及2022年中标企业设备质量、运行状况、售后服务等要求。（牵头部门：市农业农村局；责任单位：有关县市区人民政府，承德高新区管委会、御道口牧场管理区管委会）</w:t>
      </w:r>
    </w:p>
    <w:p w:rsidR="00E96BCC" w:rsidRPr="00E96BCC" w:rsidRDefault="00E96BCC" w:rsidP="00E96BCC">
      <w:pPr>
        <w:rPr>
          <w:rFonts w:hint="eastAsia"/>
        </w:rPr>
      </w:pPr>
      <w:r w:rsidRPr="00E96BCC">
        <w:rPr>
          <w:rFonts w:hint="eastAsia"/>
          <w:b/>
          <w:bCs/>
        </w:rPr>
        <w:t>4.推进实施。</w:t>
      </w:r>
      <w:r w:rsidRPr="00E96BCC">
        <w:rPr>
          <w:rFonts w:hint="eastAsia"/>
        </w:rPr>
        <w:t>7月下旬至9月底前，有关县（市、区）完成炉具安装、调试，生物质燃料供</w:t>
      </w:r>
      <w:r w:rsidRPr="00E96BCC">
        <w:rPr>
          <w:rFonts w:hint="eastAsia"/>
        </w:rPr>
        <w:lastRenderedPageBreak/>
        <w:t>应等任务，并对到场炉具及燃料进行抽样检测，确保合格后安装使用。（牵头部门：市农业农村局；责任单位：有关县市区人民政府，承德高新区管委会、御道口牧场管理区管委会）</w:t>
      </w:r>
    </w:p>
    <w:p w:rsidR="00E96BCC" w:rsidRPr="00E96BCC" w:rsidRDefault="00E96BCC" w:rsidP="00E96BCC">
      <w:pPr>
        <w:rPr>
          <w:rFonts w:hint="eastAsia"/>
        </w:rPr>
      </w:pPr>
      <w:r w:rsidRPr="00E96BCC">
        <w:rPr>
          <w:rFonts w:hint="eastAsia"/>
          <w:b/>
          <w:bCs/>
        </w:rPr>
        <w:t>5.组织验收。</w:t>
      </w:r>
      <w:r w:rsidRPr="00E96BCC">
        <w:rPr>
          <w:rFonts w:hint="eastAsia"/>
        </w:rPr>
        <w:t>市农业农村局制定生物质取暖验收方案，10月15日前报市政府同意后下发。11月底前，有关县（市、区）全面完成验收，并将验收资料及验收总结报告分别报市农业农村局。12月中旬前，市农业农村局完成对各县（市、区）的验收工作，将市级验收总结报告报市政府。（牵头部门：市农业农村局；责任单位：有关县市区人民政府，承德高新区管委会、御道口牧场管理区管委会）</w:t>
      </w:r>
    </w:p>
    <w:p w:rsidR="00E96BCC" w:rsidRPr="00E96BCC" w:rsidRDefault="00E96BCC" w:rsidP="00E96BCC">
      <w:pPr>
        <w:rPr>
          <w:rFonts w:hint="eastAsia"/>
        </w:rPr>
      </w:pPr>
      <w:r w:rsidRPr="00E96BCC">
        <w:rPr>
          <w:rFonts w:hint="eastAsia"/>
          <w:b/>
          <w:bCs/>
        </w:rPr>
        <w:t>6.资料整理。</w:t>
      </w:r>
      <w:r w:rsidRPr="00E96BCC">
        <w:rPr>
          <w:rFonts w:hint="eastAsia"/>
        </w:rPr>
        <w:t>2024年2月底前有关县（市、区）完成清洁取暖项目绩效考核资料汇编，报市农业农村局，并根据反馈意见及时调整和补充资料，完成市级和县级绩效考核档案资料</w:t>
      </w:r>
      <w:proofErr w:type="gramStart"/>
      <w:r w:rsidRPr="00E96BCC">
        <w:rPr>
          <w:rFonts w:hint="eastAsia"/>
        </w:rPr>
        <w:t>的组卷工作</w:t>
      </w:r>
      <w:proofErr w:type="gramEnd"/>
      <w:r w:rsidRPr="00E96BCC">
        <w:rPr>
          <w:rFonts w:hint="eastAsia"/>
        </w:rPr>
        <w:t>。（牵头部门：市财政局、市农业农村局；责任单位：有关县市区人民政府，承德高新区管委会、御道口牧场管理区管委会）</w:t>
      </w:r>
    </w:p>
    <w:p w:rsidR="00E96BCC" w:rsidRPr="00E96BCC" w:rsidRDefault="00E96BCC" w:rsidP="00E96BCC">
      <w:pPr>
        <w:rPr>
          <w:rFonts w:hint="eastAsia"/>
        </w:rPr>
      </w:pPr>
      <w:r w:rsidRPr="00E96BCC">
        <w:rPr>
          <w:rFonts w:hint="eastAsia"/>
        </w:rPr>
        <w:t>（二）用户侧改造</w:t>
      </w:r>
    </w:p>
    <w:p w:rsidR="00E96BCC" w:rsidRPr="00E96BCC" w:rsidRDefault="00E96BCC" w:rsidP="00E96BCC">
      <w:pPr>
        <w:rPr>
          <w:rFonts w:hint="eastAsia"/>
        </w:rPr>
      </w:pPr>
      <w:r w:rsidRPr="00E96BCC">
        <w:rPr>
          <w:rFonts w:hint="eastAsia"/>
        </w:rPr>
        <w:t>市住建局制定既有建筑能效提升专项实施方案，至少包括计划任务数、工作推进方案，4月20日前报市政府同意后下发。有关县（市、区）对本辖区既有建筑能效提升项目要确认开工、验收等关键时间节点，于5月10日前报市住建局汇总，5月20日前市级完成审核确认。有关县（市、区）按照相关规定和标准要求实施项目，对进场材料进行抽样检测，做到及时监督，确保工程进度及质量，9月底前完成既有建筑能效工作任务。市住建局制定既有建筑能效提升验收方案，10月15日前报市政府同意后下发。11月底前，有关县（市、区）全面完成验收，并将验收资料及验收总结报告上报市住建局。12月中旬前，市住建局完成对有关县（市、区）的验收工作，将市级验收总结报告报市政府。2024年2月底前有关县（市、区）完成既有建筑能效提升绩效考核资料汇编，上报市住建局，并根据反馈意见及时调整和补充资料，完成市级和县级</w:t>
      </w:r>
      <w:proofErr w:type="gramStart"/>
      <w:r w:rsidRPr="00E96BCC">
        <w:rPr>
          <w:rFonts w:hint="eastAsia"/>
        </w:rPr>
        <w:t>的组卷工作</w:t>
      </w:r>
      <w:proofErr w:type="gramEnd"/>
      <w:r w:rsidRPr="00E96BCC">
        <w:rPr>
          <w:rFonts w:hint="eastAsia"/>
        </w:rPr>
        <w:t>。（牵头部门：市住建局、市财政局；责任单位：双桥区、双滦区、围场县、隆化县、承德县、平泉市人民政府）</w:t>
      </w:r>
    </w:p>
    <w:p w:rsidR="00E96BCC" w:rsidRPr="00E96BCC" w:rsidRDefault="00E96BCC" w:rsidP="00E96BCC">
      <w:pPr>
        <w:rPr>
          <w:rFonts w:hint="eastAsia"/>
        </w:rPr>
      </w:pPr>
      <w:r w:rsidRPr="00E96BCC">
        <w:rPr>
          <w:rFonts w:hint="eastAsia"/>
        </w:rPr>
        <w:t>四、保障措施</w:t>
      </w:r>
    </w:p>
    <w:p w:rsidR="00E96BCC" w:rsidRPr="00E96BCC" w:rsidRDefault="00E96BCC" w:rsidP="00E96BCC">
      <w:pPr>
        <w:rPr>
          <w:rFonts w:hint="eastAsia"/>
        </w:rPr>
      </w:pPr>
      <w:r w:rsidRPr="00E96BCC">
        <w:rPr>
          <w:rFonts w:hint="eastAsia"/>
        </w:rPr>
        <w:t>（一）加强组织保障。坚持高位推动清洁取暖项目工作，市冬季清洁取暖项目推进工作领导小组组织领导全市冬季清洁取暖项目推进工作，市领导小组办公室全面协调全市清洁取暖项目推进工作，市级七个工作专班各司其责，统筹、协调、督促指导有关县（市、区）人民政府，管委会落实属地责任、建设主体责任和项目实施主体责任。（牵头部门：市领导小组办公室、各市级工作专班；责任单位：有关县市区人民政府，承德高新区管委会、御道口牧场管理区管委会）</w:t>
      </w:r>
    </w:p>
    <w:p w:rsidR="00E96BCC" w:rsidRPr="00E96BCC" w:rsidRDefault="00E96BCC" w:rsidP="00E96BCC">
      <w:pPr>
        <w:rPr>
          <w:rFonts w:hint="eastAsia"/>
        </w:rPr>
      </w:pPr>
      <w:r w:rsidRPr="00E96BCC">
        <w:rPr>
          <w:rFonts w:hint="eastAsia"/>
        </w:rPr>
        <w:t>（二）加强能源保障。制定能源保供实施计划，强化集中供热、电网、生物质等清洁能源保供措施，为实施清洁取暖奠定坚实基础，同时按用户需求对2021年及2022年已实施清洁取暖改造户的设备与炉具进行维护与检修。严把2023年炉具质量关，做好采购、施工、验收全过程闭环监管，严格优选有实力、有信誉、有经验的企业，全力保障清洁取暖改造质量。（牵头部门：</w:t>
      </w:r>
      <w:proofErr w:type="gramStart"/>
      <w:r w:rsidRPr="00E96BCC">
        <w:rPr>
          <w:rFonts w:hint="eastAsia"/>
        </w:rPr>
        <w:t>市发改委</w:t>
      </w:r>
      <w:proofErr w:type="gramEnd"/>
      <w:r w:rsidRPr="00E96BCC">
        <w:rPr>
          <w:rFonts w:hint="eastAsia"/>
        </w:rPr>
        <w:t>、市农业农村局、市城管局、市供电公司；责任单位：各县市区人民政府，承德高新区管委会、御道口牧场管理区管委会）</w:t>
      </w:r>
    </w:p>
    <w:p w:rsidR="00E96BCC" w:rsidRPr="00E96BCC" w:rsidRDefault="00E96BCC" w:rsidP="00E96BCC">
      <w:pPr>
        <w:rPr>
          <w:rFonts w:hint="eastAsia"/>
        </w:rPr>
      </w:pPr>
      <w:r w:rsidRPr="00E96BCC">
        <w:rPr>
          <w:rFonts w:hint="eastAsia"/>
        </w:rPr>
        <w:t>（三）加强资金和绩效保障。紧盯国家、省资金支持政策，积极争取资金支持，坚持“财政可承受、居民能接受”的原则，可根据2021年及2022年清洁取暖项目实际采购费用及运行情况，必要时适当调整或补充清洁取暖资金补助（含补贴）方案或政策，为2023年清洁取暖项目实施做好清洁取暖资金保障。县级可结合实际，在不低于全市统一标准的前提下，制定适合本县（市、区）差异化补贴政策。各县（市、区）要提前统筹安排好财政资金，严格按照《北方地区冬季清洁取暖资金绩效评价办法》（财资环〔2022〕38号）要求，将2021-2023年已到位中央资金按照合同约定全部拨付至企业，严格按照合同约定及补贴政策配套县级资金，并按照时间节点足额拨付至企业与用户手中。结合《承德市财政局关于提前做好清洁取</w:t>
      </w:r>
      <w:r w:rsidRPr="00E96BCC">
        <w:rPr>
          <w:rFonts w:hint="eastAsia"/>
        </w:rPr>
        <w:lastRenderedPageBreak/>
        <w:t>暖项目绩效评价准备工作的提示函》（承财资环便〔2021〕12号）要求，完善2021-2023年全部项目的资料汇编及详细资料的归集工作，确保国家三年总体绩效考核取得优异成绩。（牵头部门：市财政局、市农业农村局、市城管局、市住建局；责任单位：有关县市区人民政府，承德高新区管委会、御道口牧场管理区管委会）</w:t>
      </w:r>
    </w:p>
    <w:p w:rsidR="00E96BCC" w:rsidRPr="00E96BCC" w:rsidRDefault="00E96BCC" w:rsidP="00E96BCC">
      <w:pPr>
        <w:rPr>
          <w:rFonts w:hint="eastAsia"/>
        </w:rPr>
      </w:pPr>
      <w:r w:rsidRPr="00E96BCC">
        <w:rPr>
          <w:rFonts w:hint="eastAsia"/>
        </w:rPr>
        <w:t>（四）加强制度保障。完善承德市冬季清洁取暖项目管理、督导检查、绩效考核等制度体系和任务清单，按照时间节点倒排任务进度，定期进行通报，确保按时保质完成各项任务目标。（牵头部门：市领导小组办公室、各市级工作专班；责任单位：有关县市区人民政府，承德高新区管委会、御道口牧场管理区管委会）</w:t>
      </w:r>
    </w:p>
    <w:p w:rsidR="00E96BCC" w:rsidRPr="00E96BCC" w:rsidRDefault="00E96BCC" w:rsidP="00E96BCC">
      <w:pPr>
        <w:rPr>
          <w:rFonts w:hint="eastAsia"/>
        </w:rPr>
      </w:pPr>
      <w:r w:rsidRPr="00E96BCC">
        <w:rPr>
          <w:rFonts w:hint="eastAsia"/>
        </w:rPr>
        <w:t> </w:t>
      </w:r>
    </w:p>
    <w:p w:rsidR="00E96BCC" w:rsidRPr="00E96BCC" w:rsidRDefault="00E96BCC" w:rsidP="00E96BCC">
      <w:pPr>
        <w:rPr>
          <w:rFonts w:hint="eastAsia"/>
        </w:rPr>
      </w:pPr>
      <w:r w:rsidRPr="00E96BCC">
        <w:rPr>
          <w:rFonts w:hint="eastAsia"/>
        </w:rPr>
        <w:t>附件：有关县（市、区）2023年度建设任务表</w:t>
      </w:r>
    </w:p>
    <w:p w:rsidR="00E96BCC" w:rsidRPr="00E96BCC" w:rsidRDefault="00E96BCC" w:rsidP="00E96BCC">
      <w:pPr>
        <w:rPr>
          <w:rFonts w:hint="eastAsia"/>
        </w:rPr>
      </w:pPr>
      <w:r w:rsidRPr="00E96BCC">
        <w:rPr>
          <w:rFonts w:hint="eastAsia"/>
        </w:rPr>
        <w:t> </w:t>
      </w:r>
    </w:p>
    <w:p w:rsidR="00E96BCC" w:rsidRPr="00E96BCC" w:rsidRDefault="00E96BCC" w:rsidP="00E96BCC">
      <w:pPr>
        <w:rPr>
          <w:rFonts w:hint="eastAsia"/>
        </w:rPr>
      </w:pPr>
      <w:r w:rsidRPr="00E96BCC">
        <w:rPr>
          <w:rFonts w:hint="eastAsia"/>
        </w:rPr>
        <w:br/>
      </w:r>
    </w:p>
    <w:p w:rsidR="00E96BCC" w:rsidRPr="00E96BCC" w:rsidRDefault="00E96BCC" w:rsidP="00E96BCC">
      <w:pPr>
        <w:rPr>
          <w:rFonts w:hint="eastAsia"/>
        </w:rPr>
      </w:pPr>
      <w:r w:rsidRPr="00E96BCC">
        <w:rPr>
          <w:rFonts w:hint="eastAsia"/>
          <w:b/>
          <w:bCs/>
        </w:rPr>
        <w:t>附件</w:t>
      </w:r>
    </w:p>
    <w:tbl>
      <w:tblPr>
        <w:tblW w:w="0" w:type="auto"/>
        <w:tblCellMar>
          <w:top w:w="15" w:type="dxa"/>
          <w:left w:w="15" w:type="dxa"/>
          <w:bottom w:w="15" w:type="dxa"/>
          <w:right w:w="15" w:type="dxa"/>
        </w:tblCellMar>
        <w:tblLook w:val="04A0" w:firstRow="1" w:lastRow="0" w:firstColumn="1" w:lastColumn="0" w:noHBand="0" w:noVBand="1"/>
      </w:tblPr>
      <w:tblGrid>
        <w:gridCol w:w="1493"/>
        <w:gridCol w:w="2266"/>
        <w:gridCol w:w="1538"/>
        <w:gridCol w:w="1498"/>
        <w:gridCol w:w="1511"/>
      </w:tblGrid>
      <w:tr w:rsidR="00E96BCC" w:rsidRPr="00E96BCC" w:rsidTr="00E96BCC">
        <w:trPr>
          <w:trHeight w:val="525"/>
        </w:trPr>
        <w:tc>
          <w:tcPr>
            <w:tcW w:w="14685" w:type="dxa"/>
            <w:gridSpan w:val="5"/>
            <w:tcBorders>
              <w:top w:val="nil"/>
              <w:left w:val="nil"/>
              <w:bottom w:val="single" w:sz="6" w:space="0" w:color="auto"/>
              <w:right w:val="nil"/>
            </w:tcBorders>
            <w:tcMar>
              <w:top w:w="0" w:type="dxa"/>
              <w:left w:w="105" w:type="dxa"/>
              <w:bottom w:w="0" w:type="dxa"/>
              <w:right w:w="105" w:type="dxa"/>
            </w:tcMar>
            <w:vAlign w:val="center"/>
            <w:hideMark/>
          </w:tcPr>
          <w:p w:rsidR="00E96BCC" w:rsidRPr="00E96BCC" w:rsidRDefault="00E96BCC" w:rsidP="00E96BCC">
            <w:pPr>
              <w:rPr>
                <w:rFonts w:hint="eastAsia"/>
              </w:rPr>
            </w:pPr>
            <w:r w:rsidRPr="00E96BCC">
              <w:rPr>
                <w:rFonts w:hint="eastAsia"/>
              </w:rPr>
              <w:t>有关县（市、区）2023年度建设任务表</w:t>
            </w:r>
          </w:p>
        </w:tc>
      </w:tr>
      <w:tr w:rsidR="00E96BCC" w:rsidRPr="00E96BCC" w:rsidTr="00E96BCC">
        <w:trPr>
          <w:trHeight w:val="480"/>
        </w:trPr>
        <w:tc>
          <w:tcPr>
            <w:tcW w:w="2385" w:type="dxa"/>
            <w:vMerge w:val="restart"/>
            <w:tcBorders>
              <w:top w:val="nil"/>
              <w:left w:val="single" w:sz="6" w:space="0" w:color="000000"/>
              <w:bottom w:val="nil"/>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县（市、区）</w:t>
            </w:r>
          </w:p>
        </w:tc>
        <w:tc>
          <w:tcPr>
            <w:tcW w:w="12285" w:type="dxa"/>
            <w:gridSpan w:val="4"/>
            <w:tcBorders>
              <w:top w:val="single" w:sz="6" w:space="0" w:color="auto"/>
              <w:left w:val="nil"/>
              <w:bottom w:val="single" w:sz="6" w:space="0" w:color="auto"/>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建设任务</w:t>
            </w:r>
          </w:p>
        </w:tc>
      </w:tr>
      <w:tr w:rsidR="00E96BCC" w:rsidRPr="00E96BCC" w:rsidTr="00E96BCC">
        <w:trPr>
          <w:trHeight w:val="480"/>
        </w:trPr>
        <w:tc>
          <w:tcPr>
            <w:tcW w:w="0" w:type="auto"/>
            <w:vMerge/>
            <w:tcBorders>
              <w:top w:val="nil"/>
              <w:left w:val="single" w:sz="6" w:space="0" w:color="000000"/>
              <w:bottom w:val="nil"/>
              <w:right w:val="single" w:sz="6" w:space="0" w:color="000000"/>
            </w:tcBorders>
            <w:vAlign w:val="center"/>
            <w:hideMark/>
          </w:tcPr>
          <w:p w:rsidR="00E96BCC" w:rsidRPr="00E96BCC" w:rsidRDefault="00E96BCC" w:rsidP="00E96BCC"/>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热源侧（户）</w:t>
            </w:r>
          </w:p>
        </w:tc>
        <w:tc>
          <w:tcPr>
            <w:tcW w:w="8085" w:type="dxa"/>
            <w:gridSpan w:val="3"/>
            <w:tcBorders>
              <w:top w:val="single" w:sz="6" w:space="0" w:color="auto"/>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用户侧（</w:t>
            </w:r>
            <w:proofErr w:type="gramStart"/>
            <w:r w:rsidRPr="00E96BCC">
              <w:rPr>
                <w:rFonts w:hint="eastAsia"/>
                <w:b/>
                <w:bCs/>
              </w:rPr>
              <w:t>万平方米</w:t>
            </w:r>
            <w:proofErr w:type="gramEnd"/>
            <w:r w:rsidRPr="00E96BCC">
              <w:rPr>
                <w:rFonts w:hint="eastAsia"/>
                <w:b/>
                <w:bCs/>
              </w:rPr>
              <w:t>）</w:t>
            </w:r>
          </w:p>
        </w:tc>
      </w:tr>
      <w:tr w:rsidR="00E96BCC" w:rsidRPr="00E96BCC" w:rsidTr="00E96BCC">
        <w:trPr>
          <w:trHeight w:val="405"/>
        </w:trPr>
        <w:tc>
          <w:tcPr>
            <w:tcW w:w="0" w:type="auto"/>
            <w:vMerge/>
            <w:tcBorders>
              <w:top w:val="nil"/>
              <w:left w:val="single" w:sz="6" w:space="0" w:color="000000"/>
              <w:bottom w:val="nil"/>
              <w:right w:val="single" w:sz="6" w:space="0" w:color="000000"/>
            </w:tcBorders>
            <w:vAlign w:val="center"/>
            <w:hideMark/>
          </w:tcPr>
          <w:p w:rsidR="00E96BCC" w:rsidRPr="00E96BCC" w:rsidRDefault="00E96BCC" w:rsidP="00E96BCC"/>
        </w:tc>
        <w:tc>
          <w:tcPr>
            <w:tcW w:w="4215" w:type="dxa"/>
            <w:vMerge w:val="restart"/>
            <w:tcBorders>
              <w:top w:val="nil"/>
              <w:left w:val="nil"/>
              <w:bottom w:val="nil"/>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农村生物质取暖（户）</w:t>
            </w:r>
          </w:p>
        </w:tc>
        <w:tc>
          <w:tcPr>
            <w:tcW w:w="2685" w:type="dxa"/>
            <w:vMerge w:val="restart"/>
            <w:tcBorders>
              <w:top w:val="nil"/>
              <w:left w:val="nil"/>
              <w:bottom w:val="nil"/>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城区/县城居住建筑</w:t>
            </w:r>
          </w:p>
          <w:p w:rsidR="00E96BCC" w:rsidRPr="00E96BCC" w:rsidRDefault="00E96BCC" w:rsidP="00E96BCC">
            <w:r w:rsidRPr="00E96BCC">
              <w:rPr>
                <w:rFonts w:hint="eastAsia"/>
                <w:b/>
                <w:bCs/>
              </w:rPr>
              <w:t>（</w:t>
            </w:r>
            <w:proofErr w:type="gramStart"/>
            <w:r w:rsidRPr="00E96BCC">
              <w:rPr>
                <w:rFonts w:hint="eastAsia"/>
                <w:b/>
                <w:bCs/>
              </w:rPr>
              <w:t>万平方米</w:t>
            </w:r>
            <w:proofErr w:type="gramEnd"/>
            <w:r w:rsidRPr="00E96BCC">
              <w:rPr>
                <w:rFonts w:hint="eastAsia"/>
                <w:b/>
                <w:bCs/>
              </w:rPr>
              <w:t>）</w:t>
            </w:r>
          </w:p>
        </w:tc>
        <w:tc>
          <w:tcPr>
            <w:tcW w:w="2685" w:type="dxa"/>
            <w:vMerge w:val="restart"/>
            <w:tcBorders>
              <w:top w:val="single" w:sz="6" w:space="0" w:color="000000"/>
              <w:left w:val="nil"/>
              <w:bottom w:val="nil"/>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城区/县城公共建筑</w:t>
            </w:r>
          </w:p>
          <w:p w:rsidR="00E96BCC" w:rsidRPr="00E96BCC" w:rsidRDefault="00E96BCC" w:rsidP="00E96BCC">
            <w:r w:rsidRPr="00E96BCC">
              <w:rPr>
                <w:rFonts w:hint="eastAsia"/>
                <w:b/>
                <w:bCs/>
              </w:rPr>
              <w:t>（</w:t>
            </w:r>
            <w:proofErr w:type="gramStart"/>
            <w:r w:rsidRPr="00E96BCC">
              <w:rPr>
                <w:rFonts w:hint="eastAsia"/>
                <w:b/>
                <w:bCs/>
              </w:rPr>
              <w:t>万平方米</w:t>
            </w:r>
            <w:proofErr w:type="gramEnd"/>
            <w:r w:rsidRPr="00E96BCC">
              <w:rPr>
                <w:rFonts w:hint="eastAsia"/>
                <w:b/>
                <w:bCs/>
              </w:rPr>
              <w:t>）</w:t>
            </w:r>
          </w:p>
        </w:tc>
        <w:tc>
          <w:tcPr>
            <w:tcW w:w="2700" w:type="dxa"/>
            <w:vMerge w:val="restart"/>
            <w:tcBorders>
              <w:top w:val="single" w:sz="6" w:space="0" w:color="000000"/>
              <w:left w:val="nil"/>
              <w:bottom w:val="nil"/>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农村居住建筑</w:t>
            </w:r>
          </w:p>
          <w:p w:rsidR="00E96BCC" w:rsidRPr="00E96BCC" w:rsidRDefault="00E96BCC" w:rsidP="00E96BCC">
            <w:r w:rsidRPr="00E96BCC">
              <w:rPr>
                <w:rFonts w:hint="eastAsia"/>
                <w:b/>
                <w:bCs/>
              </w:rPr>
              <w:t>（</w:t>
            </w:r>
            <w:proofErr w:type="gramStart"/>
            <w:r w:rsidRPr="00E96BCC">
              <w:rPr>
                <w:rFonts w:hint="eastAsia"/>
                <w:b/>
                <w:bCs/>
              </w:rPr>
              <w:t>万平方米</w:t>
            </w:r>
            <w:proofErr w:type="gramEnd"/>
            <w:r w:rsidRPr="00E96BCC">
              <w:rPr>
                <w:rFonts w:hint="eastAsia"/>
                <w:b/>
                <w:bCs/>
              </w:rPr>
              <w:t>）</w:t>
            </w:r>
          </w:p>
        </w:tc>
      </w:tr>
      <w:tr w:rsidR="00E96BCC" w:rsidRPr="00E96BCC" w:rsidTr="00E96BCC">
        <w:trPr>
          <w:trHeight w:val="315"/>
        </w:trPr>
        <w:tc>
          <w:tcPr>
            <w:tcW w:w="0" w:type="auto"/>
            <w:vMerge/>
            <w:tcBorders>
              <w:top w:val="nil"/>
              <w:left w:val="single" w:sz="6" w:space="0" w:color="000000"/>
              <w:bottom w:val="nil"/>
              <w:right w:val="single" w:sz="6" w:space="0" w:color="000000"/>
            </w:tcBorders>
            <w:vAlign w:val="center"/>
            <w:hideMark/>
          </w:tcPr>
          <w:p w:rsidR="00E96BCC" w:rsidRPr="00E96BCC" w:rsidRDefault="00E96BCC" w:rsidP="00E96BCC"/>
        </w:tc>
        <w:tc>
          <w:tcPr>
            <w:tcW w:w="0" w:type="auto"/>
            <w:vMerge/>
            <w:tcBorders>
              <w:top w:val="nil"/>
              <w:left w:val="nil"/>
              <w:bottom w:val="nil"/>
              <w:right w:val="single" w:sz="6" w:space="0" w:color="000000"/>
            </w:tcBorders>
            <w:vAlign w:val="center"/>
            <w:hideMark/>
          </w:tcPr>
          <w:p w:rsidR="00E96BCC" w:rsidRPr="00E96BCC" w:rsidRDefault="00E96BCC" w:rsidP="00E96BCC"/>
        </w:tc>
        <w:tc>
          <w:tcPr>
            <w:tcW w:w="0" w:type="auto"/>
            <w:vMerge/>
            <w:tcBorders>
              <w:top w:val="nil"/>
              <w:left w:val="nil"/>
              <w:bottom w:val="nil"/>
              <w:right w:val="single" w:sz="6" w:space="0" w:color="000000"/>
            </w:tcBorders>
            <w:vAlign w:val="center"/>
            <w:hideMark/>
          </w:tcPr>
          <w:p w:rsidR="00E96BCC" w:rsidRPr="00E96BCC" w:rsidRDefault="00E96BCC" w:rsidP="00E96BCC"/>
        </w:tc>
        <w:tc>
          <w:tcPr>
            <w:tcW w:w="0" w:type="auto"/>
            <w:vMerge/>
            <w:tcBorders>
              <w:top w:val="single" w:sz="6" w:space="0" w:color="000000"/>
              <w:left w:val="nil"/>
              <w:bottom w:val="nil"/>
              <w:right w:val="single" w:sz="6" w:space="0" w:color="000000"/>
            </w:tcBorders>
            <w:vAlign w:val="center"/>
            <w:hideMark/>
          </w:tcPr>
          <w:p w:rsidR="00E96BCC" w:rsidRPr="00E96BCC" w:rsidRDefault="00E96BCC" w:rsidP="00E96BCC"/>
        </w:tc>
        <w:tc>
          <w:tcPr>
            <w:tcW w:w="0" w:type="auto"/>
            <w:vMerge/>
            <w:tcBorders>
              <w:top w:val="single" w:sz="6" w:space="0" w:color="000000"/>
              <w:left w:val="nil"/>
              <w:bottom w:val="nil"/>
              <w:right w:val="single" w:sz="6" w:space="0" w:color="000000"/>
            </w:tcBorders>
            <w:vAlign w:val="center"/>
            <w:hideMark/>
          </w:tcPr>
          <w:p w:rsidR="00E96BCC" w:rsidRPr="00E96BCC" w:rsidRDefault="00E96BCC" w:rsidP="00E96BCC"/>
        </w:tc>
      </w:tr>
      <w:tr w:rsidR="00E96BCC" w:rsidRPr="00E96BCC" w:rsidTr="00E96BCC">
        <w:trPr>
          <w:trHeight w:val="405"/>
        </w:trPr>
        <w:tc>
          <w:tcPr>
            <w:tcW w:w="2385" w:type="dxa"/>
            <w:tcBorders>
              <w:top w:val="nil"/>
              <w:left w:val="single" w:sz="6" w:space="0" w:color="000000"/>
              <w:bottom w:val="single" w:sz="6" w:space="0" w:color="auto"/>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双桥区</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1326</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34.47</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auto"/>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双滦区</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7878</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1.78</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营子区</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407</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围场县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4238</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3.17</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E96BCC" w:rsidRPr="00E96BCC" w:rsidRDefault="00E96BCC" w:rsidP="00E96BCC">
            <w:r w:rsidRPr="00E96BCC">
              <w:rPr>
                <w:rFonts w:hint="eastAsia"/>
              </w:rPr>
              <w:t>丰宁县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3676</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隆化县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0.98</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2.87</w:t>
            </w:r>
          </w:p>
        </w:tc>
      </w:tr>
      <w:tr w:rsidR="00E96BCC" w:rsidRPr="00E96BCC" w:rsidTr="00E96BCC">
        <w:trPr>
          <w:trHeight w:val="405"/>
        </w:trPr>
        <w:tc>
          <w:tcPr>
            <w:tcW w:w="2385" w:type="dxa"/>
            <w:tcBorders>
              <w:top w:val="nil"/>
              <w:left w:val="single" w:sz="6" w:space="0" w:color="000000"/>
              <w:bottom w:val="single" w:sz="6" w:space="0" w:color="auto"/>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承德县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6053</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2.52</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auto"/>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平泉市</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3650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30.55</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滦平县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4096</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宽城县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兴隆县</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4699</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高新区</w:t>
            </w:r>
          </w:p>
        </w:tc>
        <w:tc>
          <w:tcPr>
            <w:tcW w:w="421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2030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御道口区</w:t>
            </w:r>
          </w:p>
        </w:tc>
        <w:tc>
          <w:tcPr>
            <w:tcW w:w="4215" w:type="dxa"/>
            <w:tcBorders>
              <w:top w:val="nil"/>
              <w:left w:val="nil"/>
              <w:bottom w:val="single" w:sz="6" w:space="0" w:color="000000"/>
              <w:right w:val="single" w:sz="6" w:space="0" w:color="auto"/>
            </w:tcBorders>
            <w:tcMar>
              <w:top w:w="0" w:type="dxa"/>
              <w:left w:w="105" w:type="dxa"/>
              <w:bottom w:w="0" w:type="dxa"/>
              <w:right w:w="105" w:type="dxa"/>
            </w:tcMar>
            <w:vAlign w:val="center"/>
            <w:hideMark/>
          </w:tcPr>
          <w:p w:rsidR="00E96BCC" w:rsidRPr="00E96BCC" w:rsidRDefault="00E96BCC" w:rsidP="00E96BCC">
            <w:r w:rsidRPr="00E96BCC">
              <w:rPr>
                <w:rFonts w:hint="eastAsia"/>
              </w:rPr>
              <w:t>60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68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c>
          <w:tcPr>
            <w:tcW w:w="27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rPr>
              <w:t>0</w:t>
            </w:r>
          </w:p>
        </w:tc>
      </w:tr>
      <w:tr w:rsidR="00E96BCC" w:rsidRPr="00E96BCC" w:rsidTr="00E96BCC">
        <w:trPr>
          <w:trHeight w:val="405"/>
        </w:trPr>
        <w:tc>
          <w:tcPr>
            <w:tcW w:w="238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合计</w:t>
            </w:r>
          </w:p>
        </w:tc>
        <w:tc>
          <w:tcPr>
            <w:tcW w:w="4215" w:type="dxa"/>
            <w:tcBorders>
              <w:top w:val="nil"/>
              <w:left w:val="nil"/>
              <w:bottom w:val="single" w:sz="6" w:space="0" w:color="000000"/>
              <w:right w:val="single" w:sz="6" w:space="0" w:color="auto"/>
            </w:tcBorders>
            <w:tcMar>
              <w:top w:w="0" w:type="dxa"/>
              <w:left w:w="105" w:type="dxa"/>
              <w:bottom w:w="0" w:type="dxa"/>
              <w:right w:w="105" w:type="dxa"/>
            </w:tcMar>
            <w:vAlign w:val="center"/>
            <w:hideMark/>
          </w:tcPr>
          <w:p w:rsidR="00E96BCC" w:rsidRPr="00E96BCC" w:rsidRDefault="00E96BCC" w:rsidP="00E96BCC">
            <w:r w:rsidRPr="00E96BCC">
              <w:rPr>
                <w:rFonts w:hint="eastAsia"/>
                <w:b/>
                <w:bCs/>
              </w:rPr>
              <w:t>38113</w:t>
            </w:r>
          </w:p>
        </w:tc>
        <w:tc>
          <w:tcPr>
            <w:tcW w:w="8085" w:type="dxa"/>
            <w:gridSpan w:val="3"/>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E96BCC" w:rsidRPr="00E96BCC" w:rsidRDefault="00E96BCC" w:rsidP="00E96BCC">
            <w:r w:rsidRPr="00E96BCC">
              <w:rPr>
                <w:rFonts w:hint="eastAsia"/>
                <w:b/>
                <w:bCs/>
              </w:rPr>
              <w:t>76.34</w:t>
            </w:r>
          </w:p>
        </w:tc>
      </w:tr>
    </w:tbl>
    <w:p w:rsidR="00E96BCC" w:rsidRPr="00E96BCC" w:rsidRDefault="00E96BCC" w:rsidP="00E96BCC">
      <w:r w:rsidRPr="00E96BCC">
        <w:rPr>
          <w:rFonts w:hint="eastAsia"/>
        </w:rPr>
        <w:br/>
      </w:r>
    </w:p>
    <w:p w:rsidR="00E96BCC" w:rsidRDefault="00E96BCC" w:rsidP="00E96BCC">
      <w:r w:rsidRPr="00E96BCC">
        <w:t> </w:t>
      </w:r>
      <w:r w:rsidRPr="00E96BCC">
        <mc:AlternateContent>
          <mc:Choice Requires="wps">
            <w:drawing>
              <wp:inline distT="0" distB="0" distL="0" distR="0">
                <wp:extent cx="5619750" cy="9525"/>
                <wp:effectExtent l="0" t="0" r="0" b="0"/>
                <wp:docPr id="1" name="矩形 1" descr="C:\Users\admin\AppData\Local\Temp\ksohtml8016\wps2.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619750"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80C341" id="矩形 1" o:spid="_x0000_s1026" style="width:442.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" filled="f" stroked="f">
                <o:lock v:ext="edit" aspectratio="t"/>
                <w10:anchorlock/>
              </v:rect>
            </w:pict>
          </mc:Fallback>
        </mc:AlternateContent>
      </w:r>
      <w:r w:rsidRPr="00E96BCC">
        <w:rPr>
          <w:rFonts w:hint="eastAsia"/>
        </w:rPr>
        <w:lastRenderedPageBreak/>
        <w:t>承德市人民政府办公室</w:t>
      </w:r>
    </w:p>
    <w:p w:rsidR="00E96BCC" w:rsidRPr="00E96BCC" w:rsidRDefault="00E96BCC" w:rsidP="00E96BCC">
      <w:pPr>
        <w:rPr>
          <w:rFonts w:hint="eastAsia"/>
        </w:rPr>
      </w:pPr>
      <w:r w:rsidRPr="00E96BCC">
        <w:rPr>
          <w:rFonts w:hint="eastAsia"/>
        </w:rPr>
        <w:t>2023年4月7日印发</w:t>
      </w:r>
    </w:p>
    <w:p w:rsidR="00A37D9B" w:rsidRPr="00E96BCC" w:rsidRDefault="00A37D9B"/>
    <w:sectPr w:rsidR="00A37D9B" w:rsidRPr="00E96B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BCC"/>
    <w:rsid w:val="00A37D9B"/>
    <w:rsid w:val="00E96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2E0A6"/>
  <w15:chartTrackingRefBased/>
  <w15:docId w15:val="{74A772F8-E7BA-4264-8342-5AAD8F8D5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96B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132140">
      <w:bodyDiv w:val="1"/>
      <w:marLeft w:val="0"/>
      <w:marRight w:val="0"/>
      <w:marTop w:val="0"/>
      <w:marBottom w:val="0"/>
      <w:divBdr>
        <w:top w:val="none" w:sz="0" w:space="0" w:color="auto"/>
        <w:left w:val="none" w:sz="0" w:space="0" w:color="auto"/>
        <w:bottom w:val="none" w:sz="0" w:space="0" w:color="auto"/>
        <w:right w:val="none" w:sz="0" w:space="0" w:color="auto"/>
      </w:divBdr>
      <w:divsChild>
        <w:div w:id="100533628">
          <w:marLeft w:val="0"/>
          <w:marRight w:val="0"/>
          <w:marTop w:val="0"/>
          <w:marBottom w:val="0"/>
          <w:divBdr>
            <w:top w:val="none" w:sz="0" w:space="0" w:color="auto"/>
            <w:left w:val="none" w:sz="0" w:space="0" w:color="auto"/>
            <w:bottom w:val="none" w:sz="0" w:space="0" w:color="auto"/>
            <w:right w:val="none" w:sz="0" w:space="0" w:color="auto"/>
          </w:divBdr>
        </w:div>
        <w:div w:id="1890920899">
          <w:marLeft w:val="0"/>
          <w:marRight w:val="0"/>
          <w:marTop w:val="0"/>
          <w:marBottom w:val="0"/>
          <w:divBdr>
            <w:top w:val="none" w:sz="0" w:space="0" w:color="auto"/>
            <w:left w:val="none" w:sz="0" w:space="0" w:color="auto"/>
            <w:bottom w:val="none" w:sz="0" w:space="0" w:color="auto"/>
            <w:right w:val="none" w:sz="0" w:space="0" w:color="auto"/>
          </w:divBdr>
        </w:div>
        <w:div w:id="16764969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739</Words>
  <Characters>4213</Characters>
  <Application>Microsoft Office Word</Application>
  <DocSecurity>0</DocSecurity>
  <Lines>35</Lines>
  <Paragraphs>9</Paragraphs>
  <ScaleCrop>false</ScaleCrop>
  <Company>微软中国</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2023-06-26T02:00:00Z</dcterms:created>
  <dcterms:modified xsi:type="dcterms:W3CDTF">2023-06-26T02:02:00Z</dcterms:modified>
</cp:coreProperties>
</file>