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205FC9" w14:textId="77777777" w:rsidR="0017437C" w:rsidRDefault="0017437C">
      <w:pPr>
        <w:snapToGrid w:val="0"/>
        <w:spacing w:line="240" w:lineRule="auto"/>
        <w:ind w:firstLineChars="0" w:firstLine="0"/>
        <w:jc w:val="center"/>
        <w:rPr>
          <w:rFonts w:ascii="Times New Roman" w:eastAsia="华文中宋" w:hAnsi="Times New Roman" w:cs="Times New Roman"/>
          <w:b/>
          <w:sz w:val="44"/>
          <w:szCs w:val="44"/>
        </w:rPr>
      </w:pPr>
    </w:p>
    <w:p w14:paraId="69075545" w14:textId="0230851A" w:rsidR="0017437C" w:rsidRDefault="00A73C0F" w:rsidP="00A73C0F">
      <w:pPr>
        <w:snapToGrid w:val="0"/>
        <w:spacing w:line="240" w:lineRule="auto"/>
        <w:ind w:firstLineChars="0" w:firstLine="0"/>
        <w:rPr>
          <w:rFonts w:ascii="Times New Roman" w:eastAsia="华文中宋" w:hAnsi="Times New Roman" w:cs="Times New Roman"/>
          <w:sz w:val="28"/>
          <w:szCs w:val="28"/>
        </w:rPr>
      </w:pPr>
      <w:hyperlink r:id="rId7" w:history="1">
        <w:r w:rsidRPr="002A70C1">
          <w:rPr>
            <w:rStyle w:val="af3"/>
            <w:rFonts w:ascii="Times New Roman" w:eastAsia="华文中宋" w:hAnsi="Times New Roman" w:cs="Times New Roman"/>
            <w:sz w:val="28"/>
            <w:szCs w:val="28"/>
          </w:rPr>
          <w:t>https://sthjj.sxjz.gov.cn/tzgg/content_425206</w:t>
        </w:r>
      </w:hyperlink>
    </w:p>
    <w:p w14:paraId="5CB3A773" w14:textId="77777777" w:rsidR="00A73C0F" w:rsidRPr="00A73C0F" w:rsidRDefault="00A73C0F" w:rsidP="00A73C0F">
      <w:pPr>
        <w:snapToGrid w:val="0"/>
        <w:spacing w:line="240" w:lineRule="auto"/>
        <w:ind w:firstLineChars="0" w:firstLine="0"/>
        <w:rPr>
          <w:rFonts w:ascii="Times New Roman" w:eastAsia="华文中宋" w:hAnsi="Times New Roman" w:cs="Times New Roman"/>
          <w:sz w:val="28"/>
          <w:szCs w:val="28"/>
        </w:rPr>
      </w:pPr>
    </w:p>
    <w:p w14:paraId="595F1B32" w14:textId="77777777" w:rsidR="0017437C" w:rsidRDefault="0017437C">
      <w:pPr>
        <w:snapToGrid w:val="0"/>
        <w:spacing w:line="240" w:lineRule="auto"/>
        <w:ind w:firstLineChars="0" w:firstLine="0"/>
        <w:jc w:val="center"/>
        <w:rPr>
          <w:rFonts w:ascii="Times New Roman" w:eastAsia="华文中宋" w:hAnsi="Times New Roman" w:cs="Times New Roman"/>
          <w:b/>
          <w:sz w:val="44"/>
          <w:szCs w:val="44"/>
        </w:rPr>
      </w:pPr>
    </w:p>
    <w:p w14:paraId="3A03DE33" w14:textId="77777777" w:rsidR="00A73C0F" w:rsidRPr="00A73C0F" w:rsidRDefault="00A73C0F" w:rsidP="00A73C0F">
      <w:pPr>
        <w:snapToGrid w:val="0"/>
        <w:spacing w:line="240" w:lineRule="auto"/>
        <w:ind w:firstLineChars="0" w:firstLine="0"/>
        <w:jc w:val="center"/>
        <w:rPr>
          <w:rFonts w:ascii="Times New Roman" w:eastAsia="华文中宋" w:hAnsi="Times New Roman" w:cs="Times New Roman" w:hint="eastAsia"/>
          <w:b/>
          <w:sz w:val="28"/>
          <w:szCs w:val="28"/>
        </w:rPr>
      </w:pPr>
      <w:r w:rsidRPr="00A73C0F">
        <w:rPr>
          <w:rFonts w:ascii="Times New Roman" w:eastAsia="华文中宋" w:hAnsi="Times New Roman" w:cs="Times New Roman" w:hint="eastAsia"/>
          <w:b/>
          <w:sz w:val="28"/>
          <w:szCs w:val="28"/>
        </w:rPr>
        <w:t>关于征集晋中市“十四五”生态环境保护规划（初稿）　意见建议的通知</w:t>
      </w:r>
    </w:p>
    <w:p w14:paraId="105D6D60" w14:textId="77777777" w:rsidR="00A73C0F" w:rsidRDefault="00A73C0F" w:rsidP="00A73C0F">
      <w:pPr>
        <w:snapToGrid w:val="0"/>
        <w:spacing w:line="240" w:lineRule="auto"/>
        <w:ind w:firstLineChars="0" w:firstLine="0"/>
        <w:rPr>
          <w:rFonts w:ascii="Times New Roman" w:eastAsia="华文中宋" w:hAnsi="Times New Roman" w:cs="Times New Roman"/>
          <w:sz w:val="28"/>
          <w:szCs w:val="28"/>
        </w:rPr>
      </w:pPr>
    </w:p>
    <w:p w14:paraId="3C67BC21" w14:textId="33EFC4CB"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晋中市“十四五”生态环境保护规划对科学谋划晋中市“十四五”环境保护战略布局、指导全市“十四五”环境保护工作，全力建设“美丽晋中”意义重大。为提高规划编制的科学性、公开性与透明度，扩大规划编制的社会参与度，动员全社会力量共同参与“十四五”生态环境保护规划的编制工作，现诚挚邀请全市人民及各方面热心人士为我市“十四五”生态环境保护规划编制提供思路及意见建议。现将有关事项通知如下：</w:t>
      </w:r>
    </w:p>
    <w:p w14:paraId="72A9058B" w14:textId="77777777"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一、征集时间</w:t>
      </w:r>
    </w:p>
    <w:p w14:paraId="5946913E" w14:textId="77777777"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按照编制工作的安排，征集时间为即日起至</w:t>
      </w:r>
      <w:r w:rsidRPr="00A73C0F">
        <w:rPr>
          <w:rFonts w:ascii="Times New Roman" w:eastAsia="华文中宋" w:hAnsi="Times New Roman" w:cs="Times New Roman" w:hint="eastAsia"/>
          <w:sz w:val="28"/>
          <w:szCs w:val="28"/>
        </w:rPr>
        <w:t>2022</w:t>
      </w:r>
      <w:r w:rsidRPr="00A73C0F">
        <w:rPr>
          <w:rFonts w:ascii="Times New Roman" w:eastAsia="华文中宋" w:hAnsi="Times New Roman" w:cs="Times New Roman" w:hint="eastAsia"/>
          <w:sz w:val="28"/>
          <w:szCs w:val="28"/>
        </w:rPr>
        <w:t>年</w:t>
      </w:r>
      <w:r w:rsidRPr="00A73C0F">
        <w:rPr>
          <w:rFonts w:ascii="Times New Roman" w:eastAsia="华文中宋" w:hAnsi="Times New Roman" w:cs="Times New Roman" w:hint="eastAsia"/>
          <w:sz w:val="28"/>
          <w:szCs w:val="28"/>
        </w:rPr>
        <w:t>8</w:t>
      </w:r>
      <w:r w:rsidRPr="00A73C0F">
        <w:rPr>
          <w:rFonts w:ascii="Times New Roman" w:eastAsia="华文中宋" w:hAnsi="Times New Roman" w:cs="Times New Roman" w:hint="eastAsia"/>
          <w:sz w:val="28"/>
          <w:szCs w:val="28"/>
        </w:rPr>
        <w:t>月</w:t>
      </w:r>
      <w:r w:rsidRPr="00A73C0F">
        <w:rPr>
          <w:rFonts w:ascii="Times New Roman" w:eastAsia="华文中宋" w:hAnsi="Times New Roman" w:cs="Times New Roman" w:hint="eastAsia"/>
          <w:sz w:val="28"/>
          <w:szCs w:val="28"/>
        </w:rPr>
        <w:t>12</w:t>
      </w:r>
      <w:r w:rsidRPr="00A73C0F">
        <w:rPr>
          <w:rFonts w:ascii="Times New Roman" w:eastAsia="华文中宋" w:hAnsi="Times New Roman" w:cs="Times New Roman" w:hint="eastAsia"/>
          <w:sz w:val="28"/>
          <w:szCs w:val="28"/>
        </w:rPr>
        <w:t>日。</w:t>
      </w:r>
    </w:p>
    <w:p w14:paraId="033ED929" w14:textId="77777777"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二、征集方式</w:t>
      </w:r>
    </w:p>
    <w:p w14:paraId="1D1DA102" w14:textId="77777777"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有关“十四五”生态环境保护规划意见建议可以电子邮件、传真、信件等形式发送。</w:t>
      </w:r>
    </w:p>
    <w:p w14:paraId="14B69C87" w14:textId="77777777"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邮箱：</w:t>
      </w:r>
      <w:r w:rsidRPr="00A73C0F">
        <w:rPr>
          <w:rFonts w:ascii="Times New Roman" w:eastAsia="华文中宋" w:hAnsi="Times New Roman" w:cs="Times New Roman" w:hint="eastAsia"/>
          <w:sz w:val="28"/>
          <w:szCs w:val="28"/>
        </w:rPr>
        <w:t xml:space="preserve">jzhbjcwk@163.com  </w:t>
      </w:r>
    </w:p>
    <w:p w14:paraId="3C9FA682" w14:textId="77777777"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传真：</w:t>
      </w:r>
      <w:r w:rsidRPr="00A73C0F">
        <w:rPr>
          <w:rFonts w:ascii="Times New Roman" w:eastAsia="华文中宋" w:hAnsi="Times New Roman" w:cs="Times New Roman" w:hint="eastAsia"/>
          <w:sz w:val="28"/>
          <w:szCs w:val="28"/>
        </w:rPr>
        <w:t xml:space="preserve">2621600  </w:t>
      </w:r>
    </w:p>
    <w:p w14:paraId="53C39D4C" w14:textId="77777777"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邮寄地址：山西省晋中市榆次区辽阳路</w:t>
      </w:r>
      <w:r w:rsidRPr="00A73C0F">
        <w:rPr>
          <w:rFonts w:ascii="Times New Roman" w:eastAsia="华文中宋" w:hAnsi="Times New Roman" w:cs="Times New Roman" w:hint="eastAsia"/>
          <w:sz w:val="28"/>
          <w:szCs w:val="28"/>
        </w:rPr>
        <w:t>299</w:t>
      </w:r>
      <w:r w:rsidRPr="00A73C0F">
        <w:rPr>
          <w:rFonts w:ascii="Times New Roman" w:eastAsia="华文中宋" w:hAnsi="Times New Roman" w:cs="Times New Roman" w:hint="eastAsia"/>
          <w:sz w:val="28"/>
          <w:szCs w:val="28"/>
        </w:rPr>
        <w:t>号</w:t>
      </w:r>
    </w:p>
    <w:p w14:paraId="12763ECF" w14:textId="77777777"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邮编：</w:t>
      </w:r>
      <w:r w:rsidRPr="00A73C0F">
        <w:rPr>
          <w:rFonts w:ascii="Times New Roman" w:eastAsia="华文中宋" w:hAnsi="Times New Roman" w:cs="Times New Roman" w:hint="eastAsia"/>
          <w:sz w:val="28"/>
          <w:szCs w:val="28"/>
        </w:rPr>
        <w:t>030600</w:t>
      </w:r>
    </w:p>
    <w:p w14:paraId="5D5448A4" w14:textId="77777777" w:rsidR="00A73C0F" w:rsidRPr="00A73C0F" w:rsidRDefault="00A73C0F" w:rsidP="00A73C0F">
      <w:pPr>
        <w:snapToGrid w:val="0"/>
        <w:spacing w:line="240" w:lineRule="auto"/>
        <w:ind w:firstLineChars="0" w:firstLine="0"/>
        <w:rPr>
          <w:rFonts w:ascii="Times New Roman" w:eastAsia="华文中宋" w:hAnsi="Times New Roman" w:cs="Times New Roman" w:hint="eastAsia"/>
          <w:sz w:val="28"/>
          <w:szCs w:val="28"/>
        </w:rPr>
      </w:pPr>
      <w:r w:rsidRPr="00A73C0F">
        <w:rPr>
          <w:rFonts w:ascii="Times New Roman" w:eastAsia="华文中宋" w:hAnsi="Times New Roman" w:cs="Times New Roman" w:hint="eastAsia"/>
          <w:sz w:val="28"/>
          <w:szCs w:val="28"/>
        </w:rPr>
        <w:t>联系电话：</w:t>
      </w:r>
      <w:r w:rsidRPr="00A73C0F">
        <w:rPr>
          <w:rFonts w:ascii="Times New Roman" w:eastAsia="华文中宋" w:hAnsi="Times New Roman" w:cs="Times New Roman" w:hint="eastAsia"/>
          <w:sz w:val="28"/>
          <w:szCs w:val="28"/>
        </w:rPr>
        <w:t>0354-2621608</w:t>
      </w:r>
    </w:p>
    <w:p w14:paraId="30A332EB" w14:textId="05739353" w:rsidR="0017437C" w:rsidRPr="00A73C0F" w:rsidRDefault="00A73C0F" w:rsidP="00A73C0F">
      <w:pPr>
        <w:snapToGrid w:val="0"/>
        <w:spacing w:line="240" w:lineRule="auto"/>
        <w:ind w:firstLineChars="0" w:firstLine="0"/>
        <w:rPr>
          <w:rFonts w:ascii="Times New Roman" w:eastAsia="华文中宋" w:hAnsi="Times New Roman" w:cs="Times New Roman"/>
          <w:sz w:val="28"/>
          <w:szCs w:val="28"/>
        </w:rPr>
      </w:pPr>
      <w:r w:rsidRPr="00A73C0F">
        <w:rPr>
          <w:rFonts w:ascii="Times New Roman" w:eastAsia="华文中宋" w:hAnsi="Times New Roman" w:cs="Times New Roman" w:hint="eastAsia"/>
          <w:sz w:val="28"/>
          <w:szCs w:val="28"/>
        </w:rPr>
        <w:t>电子邮件、传真、来函等请注明“我为晋中‘十四五’生态环境保护规划建言”字样。为了方便和您联系，请注明联系人姓名、联系方式。我们会对参与者的个人信息和建言内容严格保密。</w:t>
      </w:r>
    </w:p>
    <w:p w14:paraId="7FE52E78" w14:textId="77777777" w:rsidR="0017437C" w:rsidRDefault="0017437C">
      <w:pPr>
        <w:snapToGrid w:val="0"/>
        <w:spacing w:line="240" w:lineRule="auto"/>
        <w:ind w:firstLineChars="0" w:firstLine="0"/>
        <w:jc w:val="center"/>
        <w:rPr>
          <w:rFonts w:ascii="Times New Roman" w:eastAsia="华文中宋" w:hAnsi="Times New Roman" w:cs="Times New Roman"/>
          <w:b/>
          <w:sz w:val="44"/>
          <w:szCs w:val="44"/>
        </w:rPr>
      </w:pPr>
    </w:p>
    <w:p w14:paraId="1634AE47" w14:textId="77777777" w:rsidR="0017437C" w:rsidRDefault="0017437C">
      <w:pPr>
        <w:snapToGrid w:val="0"/>
        <w:spacing w:line="240" w:lineRule="auto"/>
        <w:ind w:firstLineChars="0" w:firstLine="0"/>
        <w:jc w:val="center"/>
        <w:rPr>
          <w:rFonts w:ascii="Times New Roman" w:eastAsia="华文中宋" w:hAnsi="Times New Roman" w:cs="Times New Roman"/>
          <w:b/>
          <w:sz w:val="44"/>
          <w:szCs w:val="44"/>
        </w:rPr>
      </w:pPr>
    </w:p>
    <w:p w14:paraId="7E0E96DB" w14:textId="77777777" w:rsidR="0017437C" w:rsidRPr="009A1767" w:rsidRDefault="0053037A">
      <w:pPr>
        <w:snapToGrid w:val="0"/>
        <w:spacing w:line="240" w:lineRule="auto"/>
        <w:ind w:firstLineChars="0" w:firstLine="0"/>
        <w:jc w:val="center"/>
        <w:rPr>
          <w:rFonts w:ascii="方正小标宋简体" w:eastAsia="方正小标宋简体" w:hAnsi="Times New Roman" w:cs="Times New Roman"/>
          <w:sz w:val="52"/>
          <w:szCs w:val="52"/>
        </w:rPr>
      </w:pPr>
      <w:bookmarkStart w:id="0" w:name="_GoBack"/>
      <w:r w:rsidRPr="009A1767">
        <w:rPr>
          <w:rFonts w:ascii="方正小标宋简体" w:eastAsia="方正小标宋简体" w:hAnsi="Times New Roman" w:cs="Times New Roman" w:hint="eastAsia"/>
          <w:sz w:val="52"/>
          <w:szCs w:val="52"/>
        </w:rPr>
        <w:t>晋中市“十四五”生态环境保护规划</w:t>
      </w:r>
    </w:p>
    <w:p w14:paraId="10BE5130" w14:textId="57CC69E1" w:rsidR="0017437C" w:rsidRPr="009A1767" w:rsidRDefault="0053037A">
      <w:pPr>
        <w:snapToGrid w:val="0"/>
        <w:spacing w:line="240" w:lineRule="auto"/>
        <w:ind w:firstLineChars="0" w:firstLine="0"/>
        <w:jc w:val="center"/>
        <w:rPr>
          <w:rFonts w:ascii="方正小标宋简体" w:eastAsia="方正小标宋简体" w:hAnsi="Times New Roman" w:cs="Times New Roman"/>
          <w:sz w:val="52"/>
          <w:szCs w:val="52"/>
        </w:rPr>
      </w:pPr>
      <w:r w:rsidRPr="009A1767">
        <w:rPr>
          <w:rFonts w:ascii="方正小标宋简体" w:eastAsia="方正小标宋简体" w:hAnsi="Times New Roman" w:cs="Times New Roman" w:hint="eastAsia"/>
          <w:sz w:val="52"/>
          <w:szCs w:val="52"/>
        </w:rPr>
        <w:lastRenderedPageBreak/>
        <w:t>（</w:t>
      </w:r>
      <w:r w:rsidR="00295643" w:rsidRPr="00295643">
        <w:rPr>
          <w:rFonts w:ascii="方正小标宋简体" w:eastAsia="方正小标宋简体" w:hAnsi="Times New Roman" w:cs="Times New Roman" w:hint="eastAsia"/>
          <w:sz w:val="52"/>
          <w:szCs w:val="52"/>
        </w:rPr>
        <w:t>征求意见稿</w:t>
      </w:r>
      <w:r w:rsidRPr="009A1767">
        <w:rPr>
          <w:rFonts w:ascii="方正小标宋简体" w:eastAsia="方正小标宋简体" w:hAnsi="Times New Roman" w:cs="Times New Roman" w:hint="eastAsia"/>
          <w:sz w:val="52"/>
          <w:szCs w:val="52"/>
        </w:rPr>
        <w:t>）</w:t>
      </w:r>
    </w:p>
    <w:bookmarkEnd w:id="0"/>
    <w:p w14:paraId="703D5B34"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7CE0BFA4"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5524EA31"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04393E22"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23115A25"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6BBC1554"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298B3A31"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5D443B3F"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1DA1CABD"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62EB68E2"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7C239717"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7C684A42"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47F5BE63" w14:textId="77777777" w:rsidR="0017437C" w:rsidRPr="009A1767" w:rsidRDefault="0017437C">
      <w:pPr>
        <w:snapToGrid w:val="0"/>
        <w:spacing w:line="240" w:lineRule="auto"/>
        <w:ind w:firstLineChars="0" w:firstLine="0"/>
        <w:jc w:val="center"/>
        <w:rPr>
          <w:rFonts w:ascii="Times New Roman" w:eastAsia="华文中宋" w:hAnsi="Times New Roman" w:cs="Times New Roman"/>
          <w:b/>
          <w:sz w:val="52"/>
          <w:szCs w:val="52"/>
        </w:rPr>
      </w:pPr>
    </w:p>
    <w:p w14:paraId="3ED6F83C" w14:textId="77777777" w:rsidR="0017437C" w:rsidRPr="009A1767" w:rsidRDefault="0017437C">
      <w:pPr>
        <w:snapToGrid w:val="0"/>
        <w:spacing w:line="240" w:lineRule="auto"/>
        <w:ind w:firstLineChars="0" w:firstLine="0"/>
        <w:jc w:val="center"/>
        <w:rPr>
          <w:rFonts w:ascii="方正小标宋简体" w:eastAsia="方正小标宋简体" w:hAnsi="Times New Roman" w:cs="Times New Roman"/>
          <w:szCs w:val="48"/>
        </w:rPr>
        <w:sectPr w:rsidR="0017437C" w:rsidRPr="009A1767">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titlePg/>
          <w:docGrid w:type="lines" w:linePitch="435"/>
        </w:sectPr>
      </w:pPr>
    </w:p>
    <w:p w14:paraId="57FDDF4D" w14:textId="77777777" w:rsidR="0017437C" w:rsidRPr="009A1767" w:rsidRDefault="0053037A">
      <w:pPr>
        <w:widowControl/>
        <w:shd w:val="clear" w:color="auto" w:fill="FFFFFF"/>
        <w:spacing w:after="250" w:line="540" w:lineRule="atLeast"/>
        <w:ind w:firstLineChars="0" w:firstLine="0"/>
        <w:jc w:val="center"/>
        <w:rPr>
          <w:rFonts w:ascii="方正小标宋简体" w:eastAsia="方正小标宋简体" w:hAnsi="微软雅黑" w:cs="宋体"/>
          <w:color w:val="0000FF"/>
          <w:kern w:val="0"/>
          <w:sz w:val="44"/>
          <w:szCs w:val="44"/>
          <w:u w:val="single"/>
        </w:rPr>
      </w:pPr>
      <w:r w:rsidRPr="009A1767">
        <w:rPr>
          <w:rFonts w:ascii="方正小标宋简体" w:eastAsia="方正小标宋简体" w:hAnsi="微软雅黑" w:cs="宋体" w:hint="eastAsia"/>
          <w:color w:val="0000FF"/>
          <w:kern w:val="0"/>
          <w:sz w:val="44"/>
          <w:szCs w:val="44"/>
          <w:u w:val="single"/>
        </w:rPr>
        <w:lastRenderedPageBreak/>
        <w:t>晋中市“十四五”生态环境保护规划</w:t>
      </w:r>
    </w:p>
    <w:p w14:paraId="416C6E14" w14:textId="58D0D73E" w:rsidR="0017437C" w:rsidRPr="009A1767" w:rsidRDefault="00AE09C7">
      <w:pPr>
        <w:ind w:firstLine="640"/>
        <w:jc w:val="left"/>
        <w:rPr>
          <w:szCs w:val="32"/>
        </w:rPr>
      </w:pPr>
      <w:r w:rsidRPr="00BB2AC4">
        <w:rPr>
          <w:rFonts w:hAnsi="仿宋_GB2312" w:cs="仿宋_GB2312" w:hint="eastAsia"/>
          <w:szCs w:val="32"/>
        </w:rPr>
        <w:t>“十四五”时期我国进入了新发展阶段，生态环境保护和生态文明建设融入经济社会发展全过程。良好的生态环境是晋中市转型发展</w:t>
      </w:r>
      <w:r w:rsidRPr="00BB2AC4">
        <w:rPr>
          <w:rFonts w:eastAsia="宋体" w:hAnsi="宋体" w:cs="宋体" w:hint="eastAsia"/>
          <w:szCs w:val="32"/>
        </w:rPr>
        <w:t>蹚</w:t>
      </w:r>
      <w:r w:rsidRPr="00BB2AC4">
        <w:rPr>
          <w:rFonts w:hAnsi="仿宋_GB2312" w:cs="仿宋_GB2312" w:hint="eastAsia"/>
          <w:szCs w:val="32"/>
        </w:rPr>
        <w:t>新路的强力支撑，晋中市在充分认识生态环境保护面临的主要问题基础上，抢抓国家支持我省高质量转型发展战略机遇，全面落实可持续发展战略，以“降碳”为抓手，推进经济社会绿色转型，进一步提高生态环境治理效能，推动生态环境持续改善，生态文明建设展现新貌</w:t>
      </w:r>
      <w:r>
        <w:rPr>
          <w:rFonts w:hAnsi="仿宋_GB2312" w:cs="仿宋_GB2312" w:hint="eastAsia"/>
          <w:szCs w:val="32"/>
        </w:rPr>
        <w:t>。</w:t>
      </w:r>
      <w:r w:rsidRPr="007178B3">
        <w:rPr>
          <w:rFonts w:hAnsi="微软雅黑" w:cs="宋体" w:hint="eastAsia"/>
          <w:color w:val="333333"/>
          <w:kern w:val="0"/>
          <w:szCs w:val="32"/>
        </w:rPr>
        <w:t>科学谋划晋中市“十</w:t>
      </w:r>
      <w:r>
        <w:rPr>
          <w:rFonts w:hAnsi="微软雅黑" w:cs="宋体" w:hint="eastAsia"/>
          <w:color w:val="333333"/>
          <w:kern w:val="0"/>
          <w:szCs w:val="32"/>
        </w:rPr>
        <w:t>四</w:t>
      </w:r>
      <w:r w:rsidRPr="007178B3">
        <w:rPr>
          <w:rFonts w:hAnsi="微软雅黑" w:cs="宋体" w:hint="eastAsia"/>
          <w:color w:val="333333"/>
          <w:kern w:val="0"/>
          <w:szCs w:val="32"/>
        </w:rPr>
        <w:t>五”环境保护战略布局，对指导全市“十</w:t>
      </w:r>
      <w:r>
        <w:rPr>
          <w:rFonts w:hAnsi="微软雅黑" w:cs="宋体" w:hint="eastAsia"/>
          <w:color w:val="333333"/>
          <w:kern w:val="0"/>
          <w:szCs w:val="32"/>
        </w:rPr>
        <w:t>四</w:t>
      </w:r>
      <w:r w:rsidRPr="007178B3">
        <w:rPr>
          <w:rFonts w:hAnsi="微软雅黑" w:cs="宋体" w:hint="eastAsia"/>
          <w:color w:val="333333"/>
          <w:kern w:val="0"/>
          <w:szCs w:val="32"/>
        </w:rPr>
        <w:t>五”环境保护工作，</w:t>
      </w:r>
      <w:r w:rsidRPr="009A1767">
        <w:rPr>
          <w:rFonts w:hint="eastAsia"/>
          <w:szCs w:val="32"/>
        </w:rPr>
        <w:t>全力建设“美丽晋中”意义重大。</w:t>
      </w:r>
      <w:bookmarkStart w:id="1" w:name="_Toc92473317"/>
      <w:bookmarkStart w:id="2" w:name="_Toc104371302"/>
    </w:p>
    <w:p w14:paraId="77C7DEB0" w14:textId="77777777" w:rsidR="0017437C" w:rsidRPr="009A1767" w:rsidRDefault="0053037A">
      <w:pPr>
        <w:ind w:firstLineChars="262" w:firstLine="838"/>
        <w:rPr>
          <w:rFonts w:ascii="黑体" w:eastAsia="黑体" w:hAnsi="黑体"/>
        </w:rPr>
      </w:pPr>
      <w:r w:rsidRPr="009A1767">
        <w:rPr>
          <w:rFonts w:ascii="黑体" w:eastAsia="黑体" w:hAnsi="黑体" w:hint="eastAsia"/>
        </w:rPr>
        <w:t>一、基础与形势</w:t>
      </w:r>
      <w:bookmarkEnd w:id="1"/>
      <w:bookmarkEnd w:id="2"/>
    </w:p>
    <w:p w14:paraId="49B6F595" w14:textId="3448BCE3" w:rsidR="0017437C" w:rsidRPr="009A1767" w:rsidRDefault="0053037A">
      <w:pPr>
        <w:ind w:firstLine="640"/>
        <w:rPr>
          <w:rFonts w:ascii="楷体" w:eastAsia="楷体" w:hAnsi="楷体"/>
          <w:color w:val="0000FF"/>
          <w:u w:val="single"/>
        </w:rPr>
      </w:pPr>
      <w:bookmarkStart w:id="3" w:name="_Toc92473318"/>
      <w:bookmarkStart w:id="4" w:name="_Toc104371303"/>
      <w:r w:rsidRPr="009A1767">
        <w:rPr>
          <w:rFonts w:ascii="楷体" w:eastAsia="楷体" w:hAnsi="楷体" w:hint="eastAsia"/>
          <w:color w:val="0000FF"/>
          <w:u w:val="single"/>
        </w:rPr>
        <w:t>（一）“十三五”生态环境保护成效</w:t>
      </w:r>
      <w:bookmarkEnd w:id="3"/>
      <w:bookmarkEnd w:id="4"/>
      <w:r w:rsidR="00FF05CD">
        <w:rPr>
          <w:rFonts w:ascii="楷体" w:eastAsia="楷体" w:hAnsi="楷体" w:hint="eastAsia"/>
          <w:color w:val="0000FF"/>
          <w:u w:val="single"/>
        </w:rPr>
        <w:t>。</w:t>
      </w:r>
    </w:p>
    <w:p w14:paraId="0AF8217C" w14:textId="77777777" w:rsidR="0017437C" w:rsidRPr="009A1767" w:rsidRDefault="0053037A" w:rsidP="00920670">
      <w:pPr>
        <w:ind w:firstLine="640"/>
        <w:rPr>
          <w:szCs w:val="32"/>
        </w:rPr>
      </w:pPr>
      <w:bookmarkStart w:id="5" w:name="_Toc77261823"/>
      <w:bookmarkStart w:id="6" w:name="_Toc77260709"/>
      <w:bookmarkStart w:id="7" w:name="_Toc85729403"/>
      <w:bookmarkStart w:id="8" w:name="_Toc75355021"/>
      <w:bookmarkStart w:id="9" w:name="_Toc77606125"/>
      <w:bookmarkStart w:id="10" w:name="_Toc85728027"/>
      <w:bookmarkStart w:id="11" w:name="_Toc74846981"/>
      <w:r w:rsidRPr="009A1767">
        <w:rPr>
          <w:rFonts w:hint="eastAsia"/>
          <w:szCs w:val="32"/>
        </w:rPr>
        <w:t>“十三五”期间，晋中市委、市政府坚持以习近平生态文明思想为指导，坚持“生态立市”战略，出硬招、下重拳，让良好的生态环境成为人民幸福生活的增长点，成为经济社会持续健康发展的支撑点，成为展现表里山河、美丽晋中的发力点，人民群众生态环境安全感、获得感、幸福感显著增强，有力构筑了高质量发展的绿色本底。</w:t>
      </w:r>
    </w:p>
    <w:bookmarkEnd w:id="5"/>
    <w:bookmarkEnd w:id="6"/>
    <w:bookmarkEnd w:id="7"/>
    <w:bookmarkEnd w:id="8"/>
    <w:bookmarkEnd w:id="9"/>
    <w:bookmarkEnd w:id="10"/>
    <w:bookmarkEnd w:id="11"/>
    <w:p w14:paraId="6C29490B" w14:textId="77777777" w:rsidR="0017437C" w:rsidRPr="009A1767" w:rsidRDefault="0053037A" w:rsidP="00920670">
      <w:pPr>
        <w:ind w:firstLine="640"/>
        <w:rPr>
          <w:szCs w:val="32"/>
        </w:rPr>
      </w:pPr>
      <w:r w:rsidRPr="009A1767">
        <w:rPr>
          <w:rFonts w:hint="eastAsia"/>
          <w:szCs w:val="32"/>
        </w:rPr>
        <w:t>环境空气质量总体稳步向好。2020年，市城区空气质量</w:t>
      </w:r>
      <w:r w:rsidRPr="009A1767">
        <w:rPr>
          <w:rFonts w:hint="eastAsia"/>
          <w:szCs w:val="32"/>
        </w:rPr>
        <w:lastRenderedPageBreak/>
        <w:t>综合指数好转率位居全省第一；环境空气质量优良天数较2015年增加16天，优良率达73.0%；环境空气综合污染指数5.00，较2015年降低24.6%；污染物指标有所下降，SO</w:t>
      </w:r>
      <w:r w:rsidRPr="009A1767">
        <w:rPr>
          <w:rFonts w:hint="eastAsia"/>
          <w:szCs w:val="32"/>
          <w:vertAlign w:val="subscript"/>
        </w:rPr>
        <w:t>2</w:t>
      </w:r>
      <w:r w:rsidRPr="009A1767">
        <w:rPr>
          <w:rFonts w:hint="eastAsia"/>
          <w:szCs w:val="32"/>
        </w:rPr>
        <w:t>、PM</w:t>
      </w:r>
      <w:r w:rsidRPr="009A1767">
        <w:rPr>
          <w:rFonts w:hint="eastAsia"/>
          <w:szCs w:val="32"/>
          <w:vertAlign w:val="subscript"/>
        </w:rPr>
        <w:t>2.5</w:t>
      </w:r>
      <w:r w:rsidRPr="009A1767">
        <w:rPr>
          <w:rFonts w:hint="eastAsia"/>
          <w:szCs w:val="32"/>
        </w:rPr>
        <w:t>、PM</w:t>
      </w:r>
      <w:r w:rsidRPr="009A1767">
        <w:rPr>
          <w:rFonts w:hint="eastAsia"/>
          <w:szCs w:val="32"/>
          <w:vertAlign w:val="subscript"/>
        </w:rPr>
        <w:t>10</w:t>
      </w:r>
      <w:r w:rsidRPr="009A1767">
        <w:rPr>
          <w:rFonts w:hint="eastAsia"/>
          <w:szCs w:val="32"/>
        </w:rPr>
        <w:t>、CO浓度分别为20</w:t>
      </w:r>
      <w:r w:rsidRPr="009A1767">
        <w:rPr>
          <w:rFonts w:hAnsi="Times New Roman" w:cs="Times New Roman" w:hint="eastAsia"/>
          <w:szCs w:val="32"/>
        </w:rPr>
        <w:t>μ</w:t>
      </w:r>
      <w:r w:rsidRPr="009A1767">
        <w:rPr>
          <w:rFonts w:hint="eastAsia"/>
          <w:szCs w:val="32"/>
        </w:rPr>
        <w:t>g/m</w:t>
      </w:r>
      <w:r w:rsidRPr="009A1767">
        <w:rPr>
          <w:rFonts w:hint="eastAsia"/>
          <w:szCs w:val="32"/>
          <w:vertAlign w:val="superscript"/>
        </w:rPr>
        <w:t>3</w:t>
      </w:r>
      <w:r w:rsidRPr="009A1767">
        <w:rPr>
          <w:rFonts w:hint="eastAsia"/>
          <w:szCs w:val="32"/>
        </w:rPr>
        <w:t>、42μg/m</w:t>
      </w:r>
      <w:r w:rsidRPr="009A1767">
        <w:rPr>
          <w:rFonts w:hint="eastAsia"/>
          <w:szCs w:val="32"/>
          <w:vertAlign w:val="superscript"/>
        </w:rPr>
        <w:t>3</w:t>
      </w:r>
      <w:r w:rsidRPr="009A1767">
        <w:rPr>
          <w:rFonts w:hint="eastAsia"/>
          <w:szCs w:val="32"/>
        </w:rPr>
        <w:t>、75μg/m</w:t>
      </w:r>
      <w:r w:rsidRPr="009A1767">
        <w:rPr>
          <w:rFonts w:hint="eastAsia"/>
          <w:szCs w:val="32"/>
          <w:vertAlign w:val="superscript"/>
        </w:rPr>
        <w:t>3</w:t>
      </w:r>
      <w:r w:rsidRPr="009A1767">
        <w:rPr>
          <w:rFonts w:hint="eastAsia"/>
          <w:szCs w:val="32"/>
        </w:rPr>
        <w:t>、1.6mg/m</w:t>
      </w:r>
      <w:r w:rsidRPr="009A1767">
        <w:rPr>
          <w:rFonts w:hint="eastAsia"/>
          <w:szCs w:val="32"/>
          <w:vertAlign w:val="superscript"/>
        </w:rPr>
        <w:t>3</w:t>
      </w:r>
      <w:r w:rsidRPr="009A1767">
        <w:rPr>
          <w:rFonts w:hint="eastAsia"/>
          <w:szCs w:val="32"/>
        </w:rPr>
        <w:t>,较2015年分别下降72.2%、26.3%、25.7%、48.4%；</w:t>
      </w:r>
      <w:r w:rsidRPr="009A1767">
        <w:rPr>
          <w:rFonts w:hAnsi="微软雅黑" w:cs="宋体" w:hint="eastAsia"/>
          <w:kern w:val="0"/>
          <w:szCs w:val="32"/>
        </w:rPr>
        <w:t>超额完成了减排目标任务，</w:t>
      </w:r>
      <w:r w:rsidRPr="009A1767">
        <w:rPr>
          <w:rFonts w:hint="eastAsia"/>
          <w:szCs w:val="32"/>
        </w:rPr>
        <w:t>二氧化硫、氮氧化物排放总量分别为</w:t>
      </w:r>
      <w:r w:rsidRPr="009A1767">
        <w:rPr>
          <w:szCs w:val="32"/>
        </w:rPr>
        <w:t>6</w:t>
      </w:r>
      <w:r w:rsidRPr="009A1767">
        <w:rPr>
          <w:rFonts w:hint="eastAsia"/>
          <w:szCs w:val="32"/>
        </w:rPr>
        <w:t>.</w:t>
      </w:r>
      <w:r w:rsidRPr="009A1767">
        <w:rPr>
          <w:szCs w:val="32"/>
        </w:rPr>
        <w:t>99</w:t>
      </w:r>
      <w:r w:rsidRPr="009A1767">
        <w:rPr>
          <w:rFonts w:hint="eastAsia"/>
          <w:szCs w:val="32"/>
        </w:rPr>
        <w:t>2万</w:t>
      </w:r>
      <w:r w:rsidRPr="009A1767">
        <w:rPr>
          <w:szCs w:val="32"/>
        </w:rPr>
        <w:t>吨</w:t>
      </w:r>
      <w:r w:rsidRPr="009A1767">
        <w:rPr>
          <w:rFonts w:hint="eastAsia"/>
          <w:szCs w:val="32"/>
        </w:rPr>
        <w:t>、</w:t>
      </w:r>
      <w:r w:rsidRPr="009A1767">
        <w:rPr>
          <w:szCs w:val="32"/>
        </w:rPr>
        <w:t>5</w:t>
      </w:r>
      <w:r w:rsidRPr="009A1767">
        <w:rPr>
          <w:rFonts w:hint="eastAsia"/>
          <w:szCs w:val="32"/>
        </w:rPr>
        <w:t>.</w:t>
      </w:r>
      <w:r w:rsidRPr="009A1767">
        <w:rPr>
          <w:szCs w:val="32"/>
        </w:rPr>
        <w:t>4</w:t>
      </w:r>
      <w:r w:rsidRPr="009A1767">
        <w:rPr>
          <w:rFonts w:hint="eastAsia"/>
          <w:szCs w:val="32"/>
        </w:rPr>
        <w:t>90万</w:t>
      </w:r>
      <w:r w:rsidRPr="009A1767">
        <w:rPr>
          <w:szCs w:val="32"/>
        </w:rPr>
        <w:t>吨</w:t>
      </w:r>
      <w:r w:rsidRPr="009A1767">
        <w:rPr>
          <w:rFonts w:hint="eastAsia"/>
          <w:szCs w:val="32"/>
        </w:rPr>
        <w:t>，较2015年分别累计减排31.63%、26.68%。</w:t>
      </w:r>
    </w:p>
    <w:p w14:paraId="06E41147" w14:textId="77777777" w:rsidR="0017437C" w:rsidRPr="009A1767" w:rsidRDefault="0053037A">
      <w:pPr>
        <w:ind w:firstLine="640"/>
      </w:pPr>
      <w:bookmarkStart w:id="12" w:name="_Toc92473402"/>
      <w:bookmarkStart w:id="13" w:name="_Toc92473320"/>
      <w:bookmarkStart w:id="14" w:name="_Toc91520855"/>
      <w:bookmarkStart w:id="15" w:name="_Toc104128079"/>
      <w:bookmarkStart w:id="16" w:name="_Toc102746098"/>
      <w:bookmarkStart w:id="17" w:name="_Toc104371305"/>
      <w:bookmarkStart w:id="18" w:name="_Toc89790187"/>
      <w:r w:rsidRPr="009A1767">
        <w:rPr>
          <w:rFonts w:hint="eastAsia"/>
        </w:rPr>
        <w:t>水环境质量大幅提升</w:t>
      </w:r>
      <w:bookmarkEnd w:id="12"/>
      <w:bookmarkEnd w:id="13"/>
      <w:bookmarkEnd w:id="14"/>
      <w:bookmarkEnd w:id="15"/>
      <w:bookmarkEnd w:id="16"/>
      <w:bookmarkEnd w:id="17"/>
      <w:bookmarkEnd w:id="18"/>
      <w:r w:rsidRPr="009A1767">
        <w:rPr>
          <w:rFonts w:hint="eastAsia"/>
        </w:rPr>
        <w:t>。全市3个国考断面水质全部达标，11个国、省考断面达标率实现100％、Ш类以上水质断面占比达72.73%，24个市考断面全部退出劣V类，市城区15段黑臭水体基本完成整治。</w:t>
      </w:r>
      <w:r w:rsidRPr="009A1767">
        <w:rPr>
          <w:rFonts w:hAnsi="微软雅黑" w:cs="宋体" w:hint="eastAsia"/>
          <w:kern w:val="0"/>
          <w:szCs w:val="32"/>
        </w:rPr>
        <w:t>超额完成了减排目标任务，</w:t>
      </w:r>
      <w:bookmarkStart w:id="19" w:name="_Hlk90844389"/>
      <w:r w:rsidRPr="009A1767">
        <w:rPr>
          <w:rFonts w:hint="eastAsia"/>
          <w:szCs w:val="32"/>
        </w:rPr>
        <w:t>化学需氧量排放总量3.</w:t>
      </w:r>
      <w:r w:rsidRPr="009A1767">
        <w:rPr>
          <w:szCs w:val="32"/>
        </w:rPr>
        <w:t>910</w:t>
      </w:r>
      <w:r w:rsidRPr="009A1767">
        <w:rPr>
          <w:rFonts w:hint="eastAsia"/>
          <w:szCs w:val="32"/>
        </w:rPr>
        <w:t>万</w:t>
      </w:r>
      <w:r w:rsidRPr="009A1767">
        <w:rPr>
          <w:szCs w:val="32"/>
        </w:rPr>
        <w:t>吨</w:t>
      </w:r>
      <w:r w:rsidRPr="009A1767">
        <w:rPr>
          <w:rFonts w:hint="eastAsia"/>
          <w:szCs w:val="32"/>
        </w:rPr>
        <w:t>，较2015年累计减排2</w:t>
      </w:r>
      <w:r w:rsidRPr="009A1767">
        <w:rPr>
          <w:szCs w:val="32"/>
        </w:rPr>
        <w:t>0.86</w:t>
      </w:r>
      <w:r w:rsidRPr="009A1767">
        <w:rPr>
          <w:rFonts w:hint="eastAsia"/>
          <w:szCs w:val="32"/>
        </w:rPr>
        <w:t>%；</w:t>
      </w:r>
      <w:bookmarkEnd w:id="19"/>
      <w:r w:rsidRPr="009A1767">
        <w:rPr>
          <w:rFonts w:hint="eastAsia"/>
          <w:szCs w:val="32"/>
        </w:rPr>
        <w:t>氨氮排放总量0.</w:t>
      </w:r>
      <w:r w:rsidRPr="009A1767">
        <w:rPr>
          <w:szCs w:val="32"/>
        </w:rPr>
        <w:t>3331</w:t>
      </w:r>
      <w:r w:rsidRPr="009A1767">
        <w:rPr>
          <w:rFonts w:hint="eastAsia"/>
          <w:szCs w:val="32"/>
        </w:rPr>
        <w:t>万</w:t>
      </w:r>
      <w:r w:rsidRPr="009A1767">
        <w:rPr>
          <w:szCs w:val="32"/>
        </w:rPr>
        <w:t>吨</w:t>
      </w:r>
      <w:r w:rsidRPr="009A1767">
        <w:rPr>
          <w:rFonts w:hint="eastAsia"/>
          <w:szCs w:val="32"/>
        </w:rPr>
        <w:t>，较2015年累计减排25.59%。</w:t>
      </w:r>
      <w:r w:rsidRPr="009A1767">
        <w:rPr>
          <w:rFonts w:hint="eastAsia"/>
        </w:rPr>
        <w:t>28个县级及以上城市集中式饮用水源地中1个备用水源地未监测，其他27个水源地除2个水源地本底值超标外水质均达到或优于Ⅲ类。</w:t>
      </w:r>
    </w:p>
    <w:p w14:paraId="76778205" w14:textId="77777777" w:rsidR="0017437C" w:rsidRPr="009A1767" w:rsidRDefault="0053037A">
      <w:pPr>
        <w:ind w:firstLine="640"/>
      </w:pPr>
      <w:bookmarkStart w:id="20" w:name="_Toc102746099"/>
      <w:bookmarkStart w:id="21" w:name="_Toc92473403"/>
      <w:bookmarkStart w:id="22" w:name="_Toc92473321"/>
      <w:bookmarkStart w:id="23" w:name="_Toc104128080"/>
      <w:bookmarkStart w:id="24" w:name="_Toc91520856"/>
      <w:bookmarkStart w:id="25" w:name="_Toc89790188"/>
      <w:bookmarkStart w:id="26" w:name="_Toc104371306"/>
      <w:r w:rsidRPr="009A1767">
        <w:rPr>
          <w:rFonts w:hint="eastAsia"/>
        </w:rPr>
        <w:t>土壤环境质量得以保障</w:t>
      </w:r>
      <w:bookmarkEnd w:id="20"/>
      <w:bookmarkEnd w:id="21"/>
      <w:bookmarkEnd w:id="22"/>
      <w:bookmarkEnd w:id="23"/>
      <w:bookmarkEnd w:id="24"/>
      <w:bookmarkEnd w:id="25"/>
      <w:bookmarkEnd w:id="26"/>
      <w:r w:rsidRPr="009A1767">
        <w:rPr>
          <w:rFonts w:hint="eastAsia"/>
        </w:rPr>
        <w:t>。坚持“打基础、强管控、抓治理、破难题、防风险”五措并举，有力推进土壤污染防治各项工作，有效保障了农产品质量安全和人居环境安全。“十三五”期末，全市土壤环境质量保持总体稳定，受污染耕地和污染地块安全利用率均为100%。</w:t>
      </w:r>
    </w:p>
    <w:p w14:paraId="61C3E09E" w14:textId="77777777" w:rsidR="0017437C" w:rsidRPr="009A1767" w:rsidRDefault="0053037A">
      <w:pPr>
        <w:ind w:firstLine="640"/>
      </w:pPr>
      <w:bookmarkStart w:id="27" w:name="_Toc102746100"/>
      <w:bookmarkStart w:id="28" w:name="_Toc104128081"/>
      <w:bookmarkStart w:id="29" w:name="_Toc92473404"/>
      <w:bookmarkStart w:id="30" w:name="_Toc89790189"/>
      <w:bookmarkStart w:id="31" w:name="_Toc104371307"/>
      <w:bookmarkStart w:id="32" w:name="_Toc91520857"/>
      <w:bookmarkStart w:id="33" w:name="_Toc92473322"/>
      <w:r w:rsidRPr="009A1767">
        <w:rPr>
          <w:rFonts w:hint="eastAsia"/>
        </w:rPr>
        <w:lastRenderedPageBreak/>
        <w:t>生态保护与修复稳步推进</w:t>
      </w:r>
      <w:bookmarkEnd w:id="27"/>
      <w:bookmarkEnd w:id="28"/>
      <w:bookmarkEnd w:id="29"/>
      <w:bookmarkEnd w:id="30"/>
      <w:bookmarkEnd w:id="31"/>
      <w:bookmarkEnd w:id="32"/>
      <w:bookmarkEnd w:id="33"/>
      <w:r w:rsidRPr="009A1767">
        <w:rPr>
          <w:rFonts w:hint="eastAsia"/>
        </w:rPr>
        <w:t>。“十三五”期末，</w:t>
      </w:r>
      <w:r w:rsidRPr="009A1767">
        <w:rPr>
          <w:rFonts w:hint="eastAsia"/>
          <w:kern w:val="0"/>
        </w:rPr>
        <w:t>全市森林覆盖率达18.6%，</w:t>
      </w:r>
      <w:r w:rsidRPr="009A1767">
        <w:rPr>
          <w:rFonts w:hint="eastAsia"/>
        </w:rPr>
        <w:t>市城区成功创建国家园林城市。</w:t>
      </w:r>
    </w:p>
    <w:p w14:paraId="328CEF55" w14:textId="77777777" w:rsidR="0017437C" w:rsidRPr="009A1767" w:rsidRDefault="0053037A">
      <w:pPr>
        <w:ind w:firstLine="640"/>
        <w:rPr>
          <w:rFonts w:hAnsi="仿宋_GB2312" w:cs="仿宋_GB2312"/>
          <w:szCs w:val="32"/>
        </w:rPr>
      </w:pPr>
      <w:bookmarkStart w:id="34" w:name="_Toc89790190"/>
      <w:bookmarkStart w:id="35" w:name="_Toc104371308"/>
      <w:bookmarkStart w:id="36" w:name="_Toc92473405"/>
      <w:bookmarkStart w:id="37" w:name="_Toc104128082"/>
      <w:bookmarkStart w:id="38" w:name="_Toc102746101"/>
      <w:bookmarkStart w:id="39" w:name="_Toc92473323"/>
      <w:bookmarkStart w:id="40" w:name="_Toc91520858"/>
      <w:r w:rsidRPr="009A1767">
        <w:rPr>
          <w:rFonts w:hint="eastAsia"/>
        </w:rPr>
        <w:t>生态文明体制机制逐步完善</w:t>
      </w:r>
      <w:bookmarkEnd w:id="34"/>
      <w:bookmarkEnd w:id="35"/>
      <w:bookmarkEnd w:id="36"/>
      <w:bookmarkEnd w:id="37"/>
      <w:bookmarkEnd w:id="38"/>
      <w:bookmarkEnd w:id="39"/>
      <w:bookmarkEnd w:id="40"/>
      <w:r w:rsidRPr="009A1767">
        <w:rPr>
          <w:rFonts w:hint="eastAsia"/>
        </w:rPr>
        <w:t>。</w:t>
      </w:r>
      <w:r w:rsidRPr="009A1767">
        <w:rPr>
          <w:rFonts w:hint="eastAsia"/>
          <w:kern w:val="0"/>
          <w:szCs w:val="32"/>
        </w:rPr>
        <w:t>落实党委政府及其有关部门生态环境责任，建立市级环保督察工作机制，</w:t>
      </w:r>
      <w:r w:rsidRPr="009A1767">
        <w:rPr>
          <w:rFonts w:hAnsi="仿宋_GB2312" w:cs="仿宋_GB2312" w:hint="eastAsia"/>
          <w:szCs w:val="32"/>
        </w:rPr>
        <w:t>生态环境保护地方性法规逐步完善。</w:t>
      </w:r>
    </w:p>
    <w:p w14:paraId="63C652DD" w14:textId="65832CA0" w:rsidR="0017437C" w:rsidRPr="009A1767" w:rsidRDefault="0053037A">
      <w:pPr>
        <w:ind w:firstLine="640"/>
        <w:rPr>
          <w:rFonts w:ascii="楷体" w:eastAsia="楷体" w:hAnsi="楷体"/>
          <w:color w:val="0000FF"/>
          <w:u w:val="single"/>
        </w:rPr>
      </w:pPr>
      <w:r w:rsidRPr="009A1767">
        <w:rPr>
          <w:rFonts w:ascii="楷体" w:eastAsia="楷体" w:hAnsi="楷体" w:hint="eastAsia"/>
          <w:color w:val="0000FF"/>
          <w:u w:val="single"/>
        </w:rPr>
        <w:t>（二）“十四五”面临的主要问题</w:t>
      </w:r>
      <w:r w:rsidR="00FF05CD">
        <w:rPr>
          <w:rFonts w:ascii="楷体" w:eastAsia="楷体" w:hAnsi="楷体" w:hint="eastAsia"/>
          <w:color w:val="0000FF"/>
          <w:u w:val="single"/>
        </w:rPr>
        <w:t>。</w:t>
      </w:r>
    </w:p>
    <w:p w14:paraId="4A65D0F6"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1</w:t>
      </w:r>
      <w:r w:rsidRPr="009A1767">
        <w:rPr>
          <w:rFonts w:hAnsi="仿宋_GB2312" w:cs="仿宋_GB2312"/>
          <w:color w:val="0000FF"/>
          <w:szCs w:val="32"/>
          <w:u w:val="single"/>
        </w:rPr>
        <w:t>.</w:t>
      </w:r>
      <w:r w:rsidRPr="009A1767">
        <w:rPr>
          <w:rFonts w:hAnsi="仿宋_GB2312" w:cs="仿宋_GB2312" w:hint="eastAsia"/>
          <w:szCs w:val="32"/>
        </w:rPr>
        <w:t>结构性污染依旧严重。</w:t>
      </w:r>
    </w:p>
    <w:p w14:paraId="3F0E3DB1" w14:textId="77777777" w:rsidR="0017437C" w:rsidRPr="009A1767" w:rsidRDefault="0053037A">
      <w:pPr>
        <w:ind w:firstLine="640"/>
        <w:rPr>
          <w:lang w:val="ru-RU"/>
        </w:rPr>
      </w:pPr>
      <w:r w:rsidRPr="009A1767">
        <w:rPr>
          <w:rFonts w:hint="eastAsia"/>
          <w:lang w:val="ru-RU"/>
        </w:rPr>
        <w:t>从产业结构上来看，煤炭、焦化、电力、钢铁等高能耗、高污染行业仍占很大比例；尤其焦化行业产能调整重组推进不力，产能扩张冲动依然强烈，产业升级改造不彻底，优化产业布局受限。从能源布局和结构上来看，晋中市能源结构对煤炭仍然过分倚重，这与晋中市经济结构能耗需求有极大关系；民用散煤也是煤炭消耗的一个主要方面，虽已大力推进民用散煤清理，但其污染形势依然严峻。从运输结构和车船结构上来看，大宗货物运输已逐步减轻对公路运输的偏重，但铁路运输比例仍很低，运输结构尚未完全转型；非道路移动机械的管理工作刚刚起步，堆场扬尘和施工扬尘管控不完全到位。</w:t>
      </w:r>
    </w:p>
    <w:p w14:paraId="20617E5A" w14:textId="77777777" w:rsidR="0017437C" w:rsidRPr="009A1767" w:rsidRDefault="0053037A">
      <w:pPr>
        <w:ind w:firstLine="640"/>
        <w:rPr>
          <w:rFonts w:asciiTheme="minorHAnsi"/>
          <w:lang w:val="ru-RU"/>
        </w:rPr>
      </w:pPr>
      <w:r w:rsidRPr="009A1767">
        <w:rPr>
          <w:rFonts w:hint="eastAsia"/>
          <w:color w:val="0000FF"/>
          <w:u w:val="single"/>
          <w:lang w:val="ru-RU"/>
        </w:rPr>
        <w:t>2</w:t>
      </w:r>
      <w:r w:rsidRPr="009A1767">
        <w:rPr>
          <w:rFonts w:asciiTheme="minorHAnsi"/>
          <w:color w:val="0000FF"/>
          <w:u w:val="single"/>
          <w:lang w:val="ru-RU"/>
        </w:rPr>
        <w:t>.</w:t>
      </w:r>
      <w:r w:rsidRPr="009A1767">
        <w:rPr>
          <w:rFonts w:asciiTheme="minorHAnsi" w:hint="eastAsia"/>
          <w:lang w:val="ru-RU"/>
        </w:rPr>
        <w:t>生态环境敏感脆弱。</w:t>
      </w:r>
    </w:p>
    <w:p w14:paraId="57390E5F" w14:textId="77777777" w:rsidR="0017437C" w:rsidRPr="009A1767" w:rsidRDefault="0053037A">
      <w:pPr>
        <w:ind w:firstLine="640"/>
        <w:rPr>
          <w:rFonts w:hAnsi="仿宋" w:cs="仿宋_GB2312"/>
          <w:szCs w:val="32"/>
        </w:rPr>
      </w:pPr>
      <w:r w:rsidRPr="009A1767">
        <w:rPr>
          <w:rFonts w:hint="eastAsia"/>
          <w:lang w:val="ru-RU"/>
        </w:rPr>
        <w:t>森林资源分布相对不均、</w:t>
      </w:r>
      <w:r w:rsidRPr="009A1767">
        <w:rPr>
          <w:rFonts w:hint="eastAsia"/>
        </w:rPr>
        <w:t>河流湿地数量少，湿地资源保护力度不足，生物多样性保护基础薄弱；</w:t>
      </w:r>
      <w:r w:rsidRPr="009A1767">
        <w:rPr>
          <w:rFonts w:hAnsi="仿宋" w:cs="仿宋_GB2312" w:hint="eastAsia"/>
          <w:szCs w:val="32"/>
        </w:rPr>
        <w:t>生态系统质量较低，</w:t>
      </w:r>
      <w:r w:rsidRPr="009A1767">
        <w:rPr>
          <w:rFonts w:hAnsi="仿宋" w:cs="仿宋_GB2312" w:hint="eastAsia"/>
          <w:szCs w:val="32"/>
        </w:rPr>
        <w:lastRenderedPageBreak/>
        <w:t>水土保持功能、水源涵养功能、防风固沙等生态系统服务功能均处于低水平或中低水平，局部区域煤炭资源长期高强度的露天开采加剧水土流失，严重破坏生态环境，生态系统服务功能降低；由长期采矿活动造成大面积土地资源破坏，同时引起地下水位明显下降、破坏井泉等系列地下水环境问题；煤矸石、尾矿等矿山固体废物大量堆存，生态环境隐患问题突出。</w:t>
      </w:r>
    </w:p>
    <w:p w14:paraId="42E93DE2" w14:textId="77777777" w:rsidR="0017437C" w:rsidRPr="009A1767" w:rsidRDefault="0053037A">
      <w:pPr>
        <w:ind w:firstLine="640"/>
        <w:rPr>
          <w:rFonts w:hAnsi="仿宋" w:cs="仿宋_GB2312"/>
          <w:szCs w:val="32"/>
        </w:rPr>
      </w:pPr>
      <w:r w:rsidRPr="009A1767">
        <w:rPr>
          <w:rFonts w:hAnsi="仿宋" w:cs="仿宋_GB2312" w:hint="eastAsia"/>
          <w:color w:val="0000FF"/>
          <w:szCs w:val="32"/>
          <w:u w:val="single"/>
        </w:rPr>
        <w:t>3</w:t>
      </w:r>
      <w:r w:rsidRPr="009A1767">
        <w:rPr>
          <w:rFonts w:hAnsi="仿宋" w:cs="仿宋_GB2312"/>
          <w:color w:val="0000FF"/>
          <w:szCs w:val="32"/>
          <w:u w:val="single"/>
        </w:rPr>
        <w:t>.</w:t>
      </w:r>
      <w:r w:rsidRPr="009A1767">
        <w:rPr>
          <w:rFonts w:hAnsi="仿宋" w:cs="仿宋_GB2312" w:hint="eastAsia"/>
          <w:szCs w:val="32"/>
        </w:rPr>
        <w:t>环境质量尚未根本好转。</w:t>
      </w:r>
    </w:p>
    <w:p w14:paraId="08F7EC1C" w14:textId="77777777" w:rsidR="0017437C" w:rsidRPr="009A1767" w:rsidRDefault="0053037A">
      <w:pPr>
        <w:ind w:firstLine="640"/>
        <w:rPr>
          <w:rFonts w:hAnsi="仿宋" w:cs="仿宋_GB2312"/>
          <w:bCs/>
          <w:szCs w:val="32"/>
        </w:rPr>
      </w:pPr>
      <w:r w:rsidRPr="009A1767">
        <w:rPr>
          <w:rFonts w:hint="eastAsia"/>
          <w:bCs/>
        </w:rPr>
        <w:t>环境空气质量改善任务艰巨。</w:t>
      </w:r>
      <w:r w:rsidRPr="009A1767">
        <w:rPr>
          <w:rFonts w:hAnsi="仿宋" w:cs="仿宋_GB2312" w:hint="eastAsia"/>
          <w:bCs/>
          <w:szCs w:val="32"/>
        </w:rPr>
        <w:t>“十三五”中后期，NO</w:t>
      </w:r>
      <w:r w:rsidRPr="009A1767">
        <w:rPr>
          <w:rFonts w:hAnsi="仿宋" w:cs="仿宋_GB2312" w:hint="eastAsia"/>
          <w:bCs/>
          <w:szCs w:val="32"/>
          <w:vertAlign w:val="subscript"/>
        </w:rPr>
        <w:t>2</w:t>
      </w:r>
      <w:r w:rsidRPr="009A1767">
        <w:rPr>
          <w:rFonts w:hAnsi="仿宋" w:cs="仿宋_GB2312" w:hint="eastAsia"/>
          <w:bCs/>
          <w:szCs w:val="32"/>
        </w:rPr>
        <w:t>保持基本稳定，但较前期略有上升，未能持续稳定达标；PM</w:t>
      </w:r>
      <w:r w:rsidRPr="009A1767">
        <w:rPr>
          <w:rFonts w:hAnsi="仿宋" w:cs="仿宋_GB2312" w:hint="eastAsia"/>
          <w:bCs/>
          <w:szCs w:val="32"/>
          <w:vertAlign w:val="subscript"/>
        </w:rPr>
        <w:t>2.5</w:t>
      </w:r>
      <w:r w:rsidRPr="009A1767">
        <w:rPr>
          <w:rFonts w:hAnsi="仿宋" w:cs="仿宋_GB2312" w:hint="eastAsia"/>
          <w:bCs/>
          <w:szCs w:val="32"/>
        </w:rPr>
        <w:t>、PM</w:t>
      </w:r>
      <w:r w:rsidRPr="009A1767">
        <w:rPr>
          <w:rFonts w:hAnsi="仿宋" w:cs="仿宋_GB2312" w:hint="eastAsia"/>
          <w:bCs/>
          <w:szCs w:val="32"/>
          <w:vertAlign w:val="subscript"/>
        </w:rPr>
        <w:t>10</w:t>
      </w:r>
      <w:r w:rsidRPr="009A1767">
        <w:rPr>
          <w:rFonts w:hAnsi="仿宋" w:cs="仿宋_GB2312" w:hint="eastAsia"/>
          <w:bCs/>
          <w:szCs w:val="32"/>
        </w:rPr>
        <w:t>呈下降趋势，但仍不满足《环境空气质量标准》（GB 3095-2012）二级标准要求。水环境稳定达标攻坚形势依然严峻。</w:t>
      </w:r>
      <w:r w:rsidRPr="009A1767">
        <w:rPr>
          <w:rFonts w:hint="eastAsia"/>
          <w:bCs/>
          <w:szCs w:val="32"/>
        </w:rPr>
        <w:t>24个考核断面全部退出劣V类，但部分断面</w:t>
      </w:r>
      <w:r w:rsidRPr="009A1767">
        <w:rPr>
          <w:rFonts w:hint="eastAsia"/>
          <w:bCs/>
        </w:rPr>
        <w:t>稳定达标难度较大。</w:t>
      </w:r>
      <w:r w:rsidRPr="009A1767">
        <w:rPr>
          <w:rFonts w:hint="eastAsia"/>
          <w:bCs/>
          <w:szCs w:val="32"/>
        </w:rPr>
        <w:t>水污染治理工作有待加强，雨污分流管网改造工程缓慢、污水处理厂雨季溢流直排、部分乡镇污水管网不完善、污水处理设施运行不稳定、入河排污口整治不彻底等因素对断面水质会造成一定程度的影响。</w:t>
      </w:r>
      <w:r w:rsidRPr="009A1767">
        <w:rPr>
          <w:rFonts w:hAnsi="仿宋" w:cs="仿宋_GB2312" w:hint="eastAsia"/>
          <w:bCs/>
          <w:szCs w:val="32"/>
        </w:rPr>
        <w:t>局部土壤环境污染现状不容乐观。</w:t>
      </w:r>
      <w:r w:rsidRPr="009A1767">
        <w:rPr>
          <w:rFonts w:cs="仿宋_GB2312" w:hint="eastAsia"/>
          <w:bCs/>
          <w:kern w:val="0"/>
          <w:szCs w:val="32"/>
        </w:rPr>
        <w:t>煤炭开采、选矿、焦化等传统产业基地长期存在，污染场地较多，治理修复难度大；农业生产过程中，农药、化肥大量不当使用，污水灌溉、不合理的使用地膜等导致土壤污染为题依旧存在；</w:t>
      </w:r>
      <w:r w:rsidRPr="009A1767">
        <w:rPr>
          <w:rFonts w:hAnsi="仿宋" w:cs="仿宋_GB2312" w:hint="eastAsia"/>
          <w:bCs/>
          <w:szCs w:val="32"/>
        </w:rPr>
        <w:t>煤矿企业、热电厂等大型工业企</w:t>
      </w:r>
      <w:r w:rsidRPr="009A1767">
        <w:rPr>
          <w:rFonts w:hAnsi="仿宋" w:cs="仿宋_GB2312" w:hint="eastAsia"/>
          <w:bCs/>
          <w:szCs w:val="32"/>
        </w:rPr>
        <w:lastRenderedPageBreak/>
        <w:t>业产生固体废物数量较大，主要包括煤矸石、尾矿、粉煤灰、脱硫石膏等，综合利用率相对较低，范化处置有待进一步提高。</w:t>
      </w:r>
    </w:p>
    <w:p w14:paraId="2A299BF4" w14:textId="77777777" w:rsidR="0017437C" w:rsidRPr="009A1767" w:rsidRDefault="0053037A">
      <w:pPr>
        <w:ind w:firstLine="640"/>
        <w:rPr>
          <w:rFonts w:hAnsi="仿宋" w:cs="仿宋_GB2312"/>
          <w:szCs w:val="32"/>
        </w:rPr>
      </w:pPr>
      <w:r w:rsidRPr="009A1767">
        <w:rPr>
          <w:rFonts w:hAnsi="仿宋" w:cs="仿宋_GB2312" w:hint="eastAsia"/>
          <w:color w:val="0000FF"/>
          <w:szCs w:val="32"/>
          <w:u w:val="single"/>
        </w:rPr>
        <w:t>4</w:t>
      </w:r>
      <w:r w:rsidRPr="009A1767">
        <w:rPr>
          <w:rFonts w:hAnsi="仿宋" w:cs="仿宋_GB2312"/>
          <w:color w:val="0000FF"/>
          <w:szCs w:val="32"/>
          <w:u w:val="single"/>
        </w:rPr>
        <w:t>.</w:t>
      </w:r>
      <w:r w:rsidRPr="009A1767">
        <w:rPr>
          <w:rFonts w:hAnsi="仿宋" w:cs="仿宋_GB2312" w:hint="eastAsia"/>
          <w:szCs w:val="32"/>
        </w:rPr>
        <w:t>生态文明体制机制尚需完善。</w:t>
      </w:r>
    </w:p>
    <w:p w14:paraId="1950B8CF" w14:textId="77777777" w:rsidR="0017437C" w:rsidRPr="009A1767" w:rsidRDefault="0053037A">
      <w:pPr>
        <w:ind w:firstLine="640"/>
      </w:pPr>
      <w:r w:rsidRPr="009A1767">
        <w:rPr>
          <w:rFonts w:hint="eastAsia"/>
        </w:rPr>
        <w:t>主体功能区产业负面清单制度、生态资源环境承载力评价制度未建立，生态系统保护机制尚未健全；推动企业主动守法和清洁生产的激励机制还不健全，企业治污主动性差；资源高效利用制度有待加强，以市场需求为导向的绿色发展创新体系、绿色金融机制亟待构建，推进产业生态化、生态产业化的绿色产业支持政策还不健全。</w:t>
      </w:r>
    </w:p>
    <w:p w14:paraId="48CE9685" w14:textId="77777777" w:rsidR="0017437C" w:rsidRPr="009A1767" w:rsidRDefault="0053037A">
      <w:pPr>
        <w:ind w:firstLineChars="262" w:firstLine="838"/>
        <w:rPr>
          <w:rFonts w:ascii="黑体" w:eastAsia="黑体" w:hAnsi="黑体"/>
        </w:rPr>
      </w:pPr>
      <w:r w:rsidRPr="009A1767">
        <w:rPr>
          <w:rFonts w:ascii="黑体" w:eastAsia="黑体" w:hAnsi="黑体" w:hint="eastAsia"/>
        </w:rPr>
        <w:t>二、指导思想、原则及目标</w:t>
      </w:r>
    </w:p>
    <w:p w14:paraId="3871446F" w14:textId="77777777" w:rsidR="0017437C" w:rsidRPr="009A1767" w:rsidRDefault="0053037A">
      <w:pPr>
        <w:ind w:firstLine="640"/>
        <w:rPr>
          <w:rFonts w:ascii="楷体" w:eastAsia="楷体" w:hAnsi="楷体"/>
          <w:color w:val="0000FF"/>
          <w:u w:val="single"/>
        </w:rPr>
      </w:pPr>
      <w:r w:rsidRPr="009A1767">
        <w:rPr>
          <w:rFonts w:ascii="楷体" w:eastAsia="楷体" w:hAnsi="楷体" w:hint="eastAsia"/>
          <w:color w:val="0000FF"/>
          <w:u w:val="single"/>
        </w:rPr>
        <w:t>（一）指导思想。</w:t>
      </w:r>
    </w:p>
    <w:p w14:paraId="6C5B212D" w14:textId="77777777" w:rsidR="0017437C" w:rsidRPr="009A1767" w:rsidRDefault="0053037A">
      <w:pPr>
        <w:ind w:firstLine="640"/>
      </w:pPr>
      <w:r w:rsidRPr="009A1767">
        <w:rPr>
          <w:rFonts w:hint="eastAsia"/>
        </w:rPr>
        <w:t>以习近平新时代中国特色社会主义思想和生态文明思想为指导，全面贯彻党的十九大和十九届历次全会精神，坚持以习近平总书记视察山西重要讲话重要指示为根本遵循，积极融入碳达峰碳中和、黄河流域生态保护和高质量发展等国家战略，以“四带三湖八河流”为主阵地，以实现减污降碳协同增效为总抓手，以改善生态环境质量为核心，统筹污染治理、生态保护、应对气候变化，强化源头治理、系统治理和综合治理，突出精准治污、科学治污和依法治污，深入打好污染防治攻坚战，以高水平生态环境保护促进经济社会</w:t>
      </w:r>
      <w:r w:rsidRPr="009A1767">
        <w:rPr>
          <w:rFonts w:hint="eastAsia"/>
        </w:rPr>
        <w:lastRenderedPageBreak/>
        <w:t>发展全面绿色低碳转型，持续推进生态环境治理体系和治理能力现代化，为</w:t>
      </w:r>
      <w:r w:rsidRPr="009A1767">
        <w:rPr>
          <w:rFonts w:hAnsi="仿宋_GB2312" w:cs="仿宋_GB2312" w:hint="eastAsia"/>
          <w:szCs w:val="32"/>
        </w:rPr>
        <w:t>建设人与自然和谐共生的美丽晋中</w:t>
      </w:r>
      <w:r w:rsidRPr="009A1767">
        <w:rPr>
          <w:rFonts w:hint="eastAsia"/>
        </w:rPr>
        <w:t>奠定生态环境基础</w:t>
      </w:r>
      <w:r w:rsidRPr="009A1767">
        <w:rPr>
          <w:rFonts w:hAnsi="仿宋_GB2312" w:cs="仿宋_GB2312" w:hint="eastAsia"/>
          <w:szCs w:val="32"/>
        </w:rPr>
        <w:t>。</w:t>
      </w:r>
    </w:p>
    <w:p w14:paraId="7F14A6CB" w14:textId="77777777" w:rsidR="0017437C" w:rsidRPr="009A1767" w:rsidRDefault="0053037A">
      <w:pPr>
        <w:ind w:firstLine="640"/>
        <w:rPr>
          <w:rFonts w:ascii="楷体" w:eastAsia="楷体" w:hAnsi="楷体"/>
          <w:color w:val="0000FF"/>
          <w:u w:val="single"/>
        </w:rPr>
      </w:pPr>
      <w:r w:rsidRPr="009A1767">
        <w:rPr>
          <w:rFonts w:ascii="楷体" w:eastAsia="楷体" w:hAnsi="楷体" w:hint="eastAsia"/>
          <w:color w:val="0000FF"/>
          <w:u w:val="single"/>
        </w:rPr>
        <w:t>（二）基本原则。</w:t>
      </w:r>
    </w:p>
    <w:p w14:paraId="564FA5DE" w14:textId="77777777" w:rsidR="0017437C" w:rsidRPr="009A1767" w:rsidRDefault="0053037A">
      <w:pPr>
        <w:ind w:firstLine="640"/>
        <w:rPr>
          <w:rFonts w:hAnsi="Times New Roman"/>
        </w:rPr>
      </w:pPr>
      <w:r w:rsidRPr="009A1767">
        <w:rPr>
          <w:rFonts w:hAnsi="仿宋" w:cs="仿宋_GB2312" w:hint="eastAsia"/>
          <w:bCs/>
          <w:szCs w:val="32"/>
        </w:rPr>
        <w:t>坚持绿色发展引领。</w:t>
      </w:r>
      <w:r w:rsidRPr="009A1767">
        <w:rPr>
          <w:rFonts w:hAnsi="Times New Roman" w:hint="eastAsia"/>
        </w:rPr>
        <w:t>牢固树立绿水青山就是金山银山理念，深入实施可持续发展战略，加快形成绿色生产和绿色生活方式，促进经济社会发展全面绿色低碳转型，推动生态环境高水平保护与经济社会高质量发展深度融合。</w:t>
      </w:r>
    </w:p>
    <w:p w14:paraId="489B13AF" w14:textId="77777777" w:rsidR="0017437C" w:rsidRPr="009A1767" w:rsidRDefault="0053037A">
      <w:pPr>
        <w:ind w:firstLine="640"/>
        <w:rPr>
          <w:rFonts w:hAnsi="仿宋" w:cs="仿宋_GB2312"/>
          <w:bCs/>
          <w:szCs w:val="32"/>
        </w:rPr>
      </w:pPr>
      <w:r w:rsidRPr="009A1767">
        <w:rPr>
          <w:rFonts w:hAnsi="仿宋" w:cs="仿宋_GB2312" w:hint="eastAsia"/>
          <w:szCs w:val="32"/>
        </w:rPr>
        <w:t>坚持系统治理观念。遵循“山水林田湖草沙”生命共同体理念，统筹运用结构优化、污染治理和生态保护等多种手段，减污与降碳协同，减排与增容并重，预防和治理结合，构建全方位、全地域、全过程、一体化生态环境保护格局。</w:t>
      </w:r>
    </w:p>
    <w:p w14:paraId="004EF8D8" w14:textId="77777777" w:rsidR="0017437C" w:rsidRPr="009A1767" w:rsidRDefault="0053037A">
      <w:pPr>
        <w:ind w:firstLine="640"/>
        <w:rPr>
          <w:rFonts w:hAnsi="仿宋" w:cs="仿宋_GB2312"/>
          <w:szCs w:val="32"/>
        </w:rPr>
      </w:pPr>
      <w:r w:rsidRPr="009A1767">
        <w:rPr>
          <w:rFonts w:hAnsi="仿宋" w:cs="仿宋_GB2312" w:hint="eastAsia"/>
          <w:szCs w:val="32"/>
        </w:rPr>
        <w:t>坚持生态环境底线。坚持节约优先、保护优先、自然恢复为主，守住自然生态安全边界。坚持方向不变、力度不减，守牢生态环境质量“只能更好、不能变坏”底线。有效防范化解生态环境社会风险，筑牢生态环境领域安全防线。</w:t>
      </w:r>
    </w:p>
    <w:p w14:paraId="70AD28E5" w14:textId="77777777" w:rsidR="0017437C" w:rsidRPr="009A1767" w:rsidRDefault="0053037A">
      <w:pPr>
        <w:ind w:firstLine="640"/>
        <w:rPr>
          <w:rFonts w:hAnsi="仿宋" w:cs="仿宋_GB2312"/>
          <w:szCs w:val="32"/>
        </w:rPr>
      </w:pPr>
      <w:r w:rsidRPr="009A1767">
        <w:rPr>
          <w:rFonts w:hAnsi="仿宋" w:cs="仿宋_GB2312" w:hint="eastAsia"/>
          <w:szCs w:val="32"/>
        </w:rPr>
        <w:t>坚持改革创新。完善生态文明领域统筹协调机制，加快构建现代环境治理体系，健全生态环境监管体系。充分应用新技术、新理念转变传统生态环境治理模式，积极采取超常规思路举措，强力补齐生态环境领域突出短板。</w:t>
      </w:r>
    </w:p>
    <w:p w14:paraId="3E06BC66" w14:textId="77777777" w:rsidR="0017437C" w:rsidRPr="009A1767" w:rsidRDefault="0053037A">
      <w:pPr>
        <w:ind w:firstLine="640"/>
        <w:rPr>
          <w:rFonts w:ascii="楷体" w:eastAsia="楷体" w:hAnsi="楷体"/>
          <w:color w:val="0000FF"/>
          <w:u w:val="single"/>
        </w:rPr>
      </w:pPr>
      <w:r w:rsidRPr="009A1767">
        <w:rPr>
          <w:rFonts w:ascii="楷体" w:eastAsia="楷体" w:hAnsi="楷体" w:hint="eastAsia"/>
          <w:color w:val="0000FF"/>
          <w:u w:val="single"/>
        </w:rPr>
        <w:t>（三）主要目标。</w:t>
      </w:r>
    </w:p>
    <w:p w14:paraId="237669CD" w14:textId="77777777" w:rsidR="0017437C" w:rsidRPr="009A1767" w:rsidRDefault="0053037A">
      <w:pPr>
        <w:ind w:firstLine="640"/>
        <w:rPr>
          <w:bCs/>
          <w:szCs w:val="32"/>
        </w:rPr>
      </w:pPr>
      <w:r w:rsidRPr="009A1767">
        <w:rPr>
          <w:rFonts w:hint="eastAsia"/>
          <w:bCs/>
          <w:szCs w:val="32"/>
        </w:rPr>
        <w:lastRenderedPageBreak/>
        <w:t>到2025年，生态环境质量持续改善，生态文明建设实现新进步，绿色宜居美丽晋中建设取得新成效。</w:t>
      </w:r>
    </w:p>
    <w:p w14:paraId="10C5A1A9" w14:textId="77777777" w:rsidR="0017437C" w:rsidRPr="009A1767" w:rsidRDefault="0053037A">
      <w:pPr>
        <w:ind w:firstLine="643"/>
        <w:rPr>
          <w:bCs/>
          <w:szCs w:val="32"/>
        </w:rPr>
      </w:pPr>
      <w:r w:rsidRPr="009A1767">
        <w:rPr>
          <w:rFonts w:hint="eastAsia"/>
          <w:b/>
          <w:bCs/>
          <w:szCs w:val="32"/>
        </w:rPr>
        <w:t>生产生活方式绿色转型成效显著。</w:t>
      </w:r>
      <w:r w:rsidRPr="009A1767">
        <w:rPr>
          <w:rFonts w:hint="eastAsia"/>
          <w:bCs/>
          <w:szCs w:val="32"/>
        </w:rPr>
        <w:t>国土空间开发保护格局得到优化，绿色低碳循环发展加快推进，能源资源配置更加合理、利用效率大幅提高，碳排放强度持续降低，简约适度、绿色低碳的生活方式加快形成。</w:t>
      </w:r>
    </w:p>
    <w:p w14:paraId="08D78F1D" w14:textId="77777777" w:rsidR="0017437C" w:rsidRPr="009A1767" w:rsidRDefault="0053037A">
      <w:pPr>
        <w:ind w:firstLine="643"/>
        <w:rPr>
          <w:bCs/>
          <w:szCs w:val="32"/>
        </w:rPr>
      </w:pPr>
      <w:r w:rsidRPr="009A1767">
        <w:rPr>
          <w:rFonts w:hint="eastAsia"/>
          <w:b/>
          <w:bCs/>
          <w:szCs w:val="32"/>
        </w:rPr>
        <w:t>环境质量持续改善。</w:t>
      </w:r>
      <w:r w:rsidRPr="009A1767">
        <w:rPr>
          <w:rFonts w:hint="eastAsia"/>
          <w:bCs/>
          <w:szCs w:val="32"/>
        </w:rPr>
        <w:t>主要污染物排放总量持续减少，全面完成省下达的指标任务，环境空气质量全面改善，基本消除重污染天气，汾河流域水环境质量持续提升，全面消除国控劣Ⅴ类断面和城市黑臭水体，城乡人居环境明显改善。</w:t>
      </w:r>
    </w:p>
    <w:p w14:paraId="509A0049" w14:textId="77777777" w:rsidR="0017437C" w:rsidRPr="009A1767" w:rsidRDefault="0053037A">
      <w:pPr>
        <w:ind w:firstLine="643"/>
        <w:rPr>
          <w:bCs/>
          <w:szCs w:val="32"/>
        </w:rPr>
      </w:pPr>
      <w:r w:rsidRPr="009A1767">
        <w:rPr>
          <w:rFonts w:hint="eastAsia"/>
          <w:b/>
          <w:bCs/>
          <w:szCs w:val="32"/>
        </w:rPr>
        <w:t>生态系统质量和稳定性稳步提升。</w:t>
      </w:r>
      <w:r w:rsidRPr="009A1767">
        <w:rPr>
          <w:rFonts w:hint="eastAsia"/>
          <w:bCs/>
          <w:szCs w:val="32"/>
        </w:rPr>
        <w:t>生物多样性得到有效保护，生物安全管理水平显著提升，生态系统服务功能不断增强。</w:t>
      </w:r>
    </w:p>
    <w:p w14:paraId="3F09C590" w14:textId="77777777" w:rsidR="0017437C" w:rsidRPr="009A1767" w:rsidRDefault="0053037A">
      <w:pPr>
        <w:ind w:firstLine="643"/>
        <w:rPr>
          <w:bCs/>
          <w:szCs w:val="32"/>
        </w:rPr>
      </w:pPr>
      <w:r w:rsidRPr="009A1767">
        <w:rPr>
          <w:rFonts w:hint="eastAsia"/>
          <w:b/>
          <w:bCs/>
          <w:szCs w:val="32"/>
        </w:rPr>
        <w:t>环境安全有效保障。</w:t>
      </w:r>
      <w:r w:rsidRPr="009A1767">
        <w:rPr>
          <w:rFonts w:hint="eastAsia"/>
          <w:bCs/>
          <w:szCs w:val="32"/>
        </w:rPr>
        <w:t>土壤安全利用水平巩固提升，固体废物与化学品环境风险防控能力明显增强，核与辐射监管持续加强，环境风险得到有效管控。</w:t>
      </w:r>
    </w:p>
    <w:p w14:paraId="74ED055E" w14:textId="77777777" w:rsidR="0017437C" w:rsidRPr="009A1767" w:rsidRDefault="0053037A">
      <w:pPr>
        <w:ind w:firstLine="643"/>
        <w:rPr>
          <w:bCs/>
          <w:szCs w:val="32"/>
        </w:rPr>
      </w:pPr>
      <w:r w:rsidRPr="009A1767">
        <w:rPr>
          <w:rFonts w:hint="eastAsia"/>
          <w:b/>
          <w:bCs/>
          <w:szCs w:val="32"/>
        </w:rPr>
        <w:t>现代环境治理体系建立健全。</w:t>
      </w:r>
      <w:r w:rsidRPr="009A1767">
        <w:rPr>
          <w:rFonts w:hint="eastAsia"/>
          <w:bCs/>
          <w:szCs w:val="32"/>
        </w:rPr>
        <w:t>生态文明体制改革深入推进，生态环境治理能力突出短板加快补齐，生态环境治理效能显著提升。</w:t>
      </w:r>
    </w:p>
    <w:p w14:paraId="43F3E21B" w14:textId="77777777" w:rsidR="0017437C" w:rsidRPr="009A1767" w:rsidRDefault="0053037A">
      <w:pPr>
        <w:spacing w:line="240" w:lineRule="auto"/>
        <w:ind w:firstLineChars="0" w:firstLine="0"/>
        <w:jc w:val="center"/>
        <w:rPr>
          <w:rFonts w:ascii="黑体" w:eastAsia="黑体" w:hAnsi="黑体"/>
          <w:sz w:val="24"/>
          <w:szCs w:val="24"/>
        </w:rPr>
      </w:pPr>
      <w:r w:rsidRPr="009A1767">
        <w:rPr>
          <w:rFonts w:ascii="黑体" w:eastAsia="黑体" w:hAnsi="黑体"/>
          <w:sz w:val="24"/>
          <w:szCs w:val="24"/>
        </w:rPr>
        <w:t xml:space="preserve">表1  </w:t>
      </w:r>
      <w:r w:rsidRPr="009A1767">
        <w:rPr>
          <w:rFonts w:ascii="黑体" w:eastAsia="黑体" w:hAnsi="黑体" w:hint="eastAsia"/>
          <w:sz w:val="24"/>
          <w:szCs w:val="24"/>
        </w:rPr>
        <w:t>晋中市</w:t>
      </w:r>
      <w:r w:rsidRPr="009A1767">
        <w:rPr>
          <w:rFonts w:ascii="黑体" w:eastAsia="黑体" w:hAnsi="黑体"/>
          <w:sz w:val="24"/>
          <w:szCs w:val="24"/>
        </w:rPr>
        <w:t>“十四五”生态环境保护规划指标体系</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568"/>
        <w:gridCol w:w="4252"/>
        <w:gridCol w:w="994"/>
        <w:gridCol w:w="1096"/>
        <w:gridCol w:w="937"/>
      </w:tblGrid>
      <w:tr w:rsidR="0017437C" w:rsidRPr="009A1767" w14:paraId="446C5578" w14:textId="77777777">
        <w:trPr>
          <w:trHeight w:val="340"/>
          <w:tblHeader/>
          <w:jc w:val="center"/>
        </w:trPr>
        <w:tc>
          <w:tcPr>
            <w:tcW w:w="396" w:type="pct"/>
            <w:tcBorders>
              <w:top w:val="single" w:sz="4" w:space="0" w:color="000000"/>
              <w:left w:val="single" w:sz="4" w:space="0" w:color="000000"/>
              <w:bottom w:val="single" w:sz="4" w:space="0" w:color="auto"/>
              <w:right w:val="single" w:sz="4" w:space="0" w:color="000000"/>
            </w:tcBorders>
            <w:vAlign w:val="center"/>
          </w:tcPr>
          <w:p w14:paraId="7E36027E"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类别</w:t>
            </w:r>
          </w:p>
        </w:tc>
        <w:tc>
          <w:tcPr>
            <w:tcW w:w="333" w:type="pct"/>
            <w:tcBorders>
              <w:top w:val="single" w:sz="4" w:space="0" w:color="auto"/>
              <w:left w:val="single" w:sz="4" w:space="0" w:color="000000"/>
              <w:bottom w:val="single" w:sz="4" w:space="0" w:color="auto"/>
              <w:right w:val="single" w:sz="4" w:space="0" w:color="000000"/>
            </w:tcBorders>
            <w:vAlign w:val="center"/>
          </w:tcPr>
          <w:p w14:paraId="790A900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序号</w:t>
            </w:r>
          </w:p>
        </w:tc>
        <w:tc>
          <w:tcPr>
            <w:tcW w:w="2495" w:type="pct"/>
            <w:tcBorders>
              <w:top w:val="single" w:sz="4" w:space="0" w:color="auto"/>
              <w:left w:val="single" w:sz="4" w:space="0" w:color="000000"/>
              <w:bottom w:val="single" w:sz="4" w:space="0" w:color="auto"/>
              <w:right w:val="single" w:sz="4" w:space="0" w:color="000000"/>
            </w:tcBorders>
            <w:vAlign w:val="center"/>
          </w:tcPr>
          <w:p w14:paraId="25458C0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指标</w:t>
            </w:r>
          </w:p>
        </w:tc>
        <w:tc>
          <w:tcPr>
            <w:tcW w:w="583" w:type="pct"/>
            <w:tcBorders>
              <w:top w:val="single" w:sz="4" w:space="0" w:color="auto"/>
              <w:left w:val="single" w:sz="4" w:space="0" w:color="000000"/>
              <w:bottom w:val="single" w:sz="4" w:space="0" w:color="auto"/>
              <w:right w:val="single" w:sz="4" w:space="0" w:color="000000"/>
            </w:tcBorders>
            <w:vAlign w:val="center"/>
          </w:tcPr>
          <w:p w14:paraId="781AD19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基准年</w:t>
            </w:r>
          </w:p>
          <w:p w14:paraId="37E8A71D"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2020年</w:t>
            </w:r>
          </w:p>
        </w:tc>
        <w:tc>
          <w:tcPr>
            <w:tcW w:w="643" w:type="pct"/>
            <w:tcBorders>
              <w:top w:val="single" w:sz="4" w:space="0" w:color="auto"/>
              <w:left w:val="single" w:sz="4" w:space="0" w:color="000000"/>
              <w:bottom w:val="single" w:sz="4" w:space="0" w:color="auto"/>
              <w:right w:val="single" w:sz="4" w:space="0" w:color="000000"/>
            </w:tcBorders>
            <w:vAlign w:val="center"/>
          </w:tcPr>
          <w:p w14:paraId="735FE22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目标年</w:t>
            </w:r>
          </w:p>
          <w:p w14:paraId="4074754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2025年</w:t>
            </w:r>
          </w:p>
        </w:tc>
        <w:tc>
          <w:tcPr>
            <w:tcW w:w="550" w:type="pct"/>
            <w:tcBorders>
              <w:top w:val="single" w:sz="4" w:space="0" w:color="auto"/>
              <w:left w:val="single" w:sz="4" w:space="0" w:color="000000"/>
              <w:bottom w:val="single" w:sz="4" w:space="0" w:color="auto"/>
              <w:right w:val="single" w:sz="4" w:space="0" w:color="000000"/>
            </w:tcBorders>
            <w:vAlign w:val="center"/>
          </w:tcPr>
          <w:p w14:paraId="4EC3B667"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指标</w:t>
            </w:r>
          </w:p>
          <w:p w14:paraId="45395B32"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性质</w:t>
            </w:r>
          </w:p>
        </w:tc>
      </w:tr>
      <w:tr w:rsidR="0017437C" w:rsidRPr="009A1767" w14:paraId="168F575D" w14:textId="77777777">
        <w:trPr>
          <w:trHeight w:val="340"/>
          <w:jc w:val="center"/>
        </w:trPr>
        <w:tc>
          <w:tcPr>
            <w:tcW w:w="396" w:type="pct"/>
            <w:vMerge w:val="restart"/>
            <w:tcBorders>
              <w:left w:val="single" w:sz="4" w:space="0" w:color="000000"/>
              <w:right w:val="single" w:sz="4" w:space="0" w:color="000000"/>
            </w:tcBorders>
            <w:vAlign w:val="center"/>
          </w:tcPr>
          <w:p w14:paraId="0B17C14D"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大气</w:t>
            </w:r>
            <w:r w:rsidRPr="009A1767">
              <w:rPr>
                <w:rFonts w:ascii="仿宋_GB2312" w:eastAsia="仿宋_GB2312" w:hAnsi="Times New Roman" w:hint="eastAsia"/>
                <w:sz w:val="21"/>
                <w:szCs w:val="21"/>
              </w:rPr>
              <w:lastRenderedPageBreak/>
              <w:t>环境质量改善</w:t>
            </w:r>
          </w:p>
        </w:tc>
        <w:tc>
          <w:tcPr>
            <w:tcW w:w="333" w:type="pct"/>
            <w:tcBorders>
              <w:top w:val="single" w:sz="4" w:space="0" w:color="auto"/>
              <w:left w:val="single" w:sz="4" w:space="0" w:color="000000"/>
              <w:bottom w:val="single" w:sz="4" w:space="0" w:color="auto"/>
              <w:right w:val="single" w:sz="4" w:space="0" w:color="000000"/>
            </w:tcBorders>
            <w:vAlign w:val="center"/>
          </w:tcPr>
          <w:p w14:paraId="295F5F3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lastRenderedPageBreak/>
              <w:t>1</w:t>
            </w:r>
          </w:p>
        </w:tc>
        <w:tc>
          <w:tcPr>
            <w:tcW w:w="2495" w:type="pct"/>
            <w:tcBorders>
              <w:top w:val="single" w:sz="4" w:space="0" w:color="auto"/>
              <w:left w:val="single" w:sz="4" w:space="0" w:color="000000"/>
              <w:bottom w:val="single" w:sz="4" w:space="0" w:color="auto"/>
              <w:right w:val="single" w:sz="4" w:space="0" w:color="000000"/>
            </w:tcBorders>
            <w:vAlign w:val="center"/>
          </w:tcPr>
          <w:p w14:paraId="4AD5B72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设区城市细颗粒物（PM</w:t>
            </w:r>
            <w:r w:rsidRPr="009A1767">
              <w:rPr>
                <w:rFonts w:ascii="仿宋_GB2312" w:eastAsia="仿宋_GB2312" w:hAnsi="Times New Roman" w:hint="eastAsia"/>
                <w:sz w:val="21"/>
                <w:szCs w:val="21"/>
                <w:vertAlign w:val="subscript"/>
              </w:rPr>
              <w:t>2.5</w:t>
            </w:r>
            <w:r w:rsidRPr="009A1767">
              <w:rPr>
                <w:rFonts w:ascii="仿宋_GB2312" w:eastAsia="仿宋_GB2312" w:hAnsi="Times New Roman" w:hint="eastAsia"/>
                <w:sz w:val="21"/>
                <w:szCs w:val="21"/>
              </w:rPr>
              <w:t>）浓度</w:t>
            </w:r>
          </w:p>
          <w:p w14:paraId="03E0F12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lastRenderedPageBreak/>
              <w:t>（μ</w:t>
            </w:r>
            <w:r w:rsidRPr="009A1767">
              <w:rPr>
                <w:rFonts w:ascii="仿宋_GB2312" w:eastAsia="仿宋_GB2312" w:hAnsi="Times New Roman"/>
                <w:sz w:val="21"/>
                <w:szCs w:val="21"/>
              </w:rPr>
              <w:t>g/m</w:t>
            </w:r>
            <w:r w:rsidRPr="009A1767">
              <w:rPr>
                <w:rFonts w:ascii="仿宋_GB2312" w:eastAsia="仿宋_GB2312" w:hAnsi="Times New Roman"/>
                <w:sz w:val="21"/>
                <w:szCs w:val="21"/>
                <w:vertAlign w:val="superscript"/>
              </w:rPr>
              <w:t>3</w:t>
            </w:r>
            <w:r w:rsidRPr="009A1767">
              <w:rPr>
                <w:rFonts w:ascii="仿宋_GB2312" w:eastAsia="仿宋_GB2312" w:hAnsi="Times New Roman" w:hint="eastAsia"/>
                <w:sz w:val="21"/>
                <w:szCs w:val="21"/>
              </w:rPr>
              <w:t>）</w:t>
            </w:r>
          </w:p>
        </w:tc>
        <w:tc>
          <w:tcPr>
            <w:tcW w:w="583" w:type="pct"/>
            <w:tcBorders>
              <w:top w:val="single" w:sz="4" w:space="0" w:color="auto"/>
              <w:left w:val="single" w:sz="4" w:space="0" w:color="000000"/>
              <w:bottom w:val="single" w:sz="4" w:space="0" w:color="auto"/>
              <w:right w:val="single" w:sz="4" w:space="0" w:color="000000"/>
            </w:tcBorders>
            <w:vAlign w:val="center"/>
          </w:tcPr>
          <w:p w14:paraId="6790E4D2"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lastRenderedPageBreak/>
              <w:t>42</w:t>
            </w:r>
          </w:p>
        </w:tc>
        <w:tc>
          <w:tcPr>
            <w:tcW w:w="643" w:type="pct"/>
            <w:vMerge w:val="restart"/>
            <w:tcBorders>
              <w:top w:val="single" w:sz="4" w:space="0" w:color="auto"/>
              <w:left w:val="single" w:sz="4" w:space="0" w:color="000000"/>
              <w:right w:val="single" w:sz="4" w:space="0" w:color="000000"/>
            </w:tcBorders>
            <w:vAlign w:val="center"/>
          </w:tcPr>
          <w:p w14:paraId="3CA7433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完成省下</w:t>
            </w:r>
            <w:r w:rsidRPr="009A1767">
              <w:rPr>
                <w:rFonts w:ascii="仿宋_GB2312" w:eastAsia="仿宋_GB2312" w:hAnsi="Times New Roman" w:hint="eastAsia"/>
                <w:sz w:val="21"/>
                <w:szCs w:val="21"/>
              </w:rPr>
              <w:lastRenderedPageBreak/>
              <w:t>达目标</w:t>
            </w:r>
          </w:p>
        </w:tc>
        <w:tc>
          <w:tcPr>
            <w:tcW w:w="550" w:type="pct"/>
            <w:tcBorders>
              <w:top w:val="single" w:sz="4" w:space="0" w:color="auto"/>
              <w:left w:val="single" w:sz="4" w:space="0" w:color="000000"/>
              <w:bottom w:val="single" w:sz="4" w:space="0" w:color="auto"/>
              <w:right w:val="single" w:sz="4" w:space="0" w:color="000000"/>
            </w:tcBorders>
            <w:vAlign w:val="center"/>
          </w:tcPr>
          <w:p w14:paraId="77C9DF7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lastRenderedPageBreak/>
              <w:t>约束性</w:t>
            </w:r>
          </w:p>
        </w:tc>
      </w:tr>
      <w:tr w:rsidR="0017437C" w:rsidRPr="009A1767" w14:paraId="73C13366" w14:textId="77777777">
        <w:trPr>
          <w:trHeight w:val="340"/>
          <w:jc w:val="center"/>
        </w:trPr>
        <w:tc>
          <w:tcPr>
            <w:tcW w:w="396" w:type="pct"/>
            <w:vMerge/>
            <w:tcBorders>
              <w:left w:val="single" w:sz="4" w:space="0" w:color="000000"/>
              <w:bottom w:val="single" w:sz="4" w:space="0" w:color="auto"/>
              <w:right w:val="single" w:sz="4" w:space="0" w:color="000000"/>
            </w:tcBorders>
            <w:vAlign w:val="center"/>
          </w:tcPr>
          <w:p w14:paraId="141750FF"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5D8B01AE"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2</w:t>
            </w:r>
          </w:p>
        </w:tc>
        <w:tc>
          <w:tcPr>
            <w:tcW w:w="2495" w:type="pct"/>
            <w:tcBorders>
              <w:top w:val="single" w:sz="4" w:space="0" w:color="auto"/>
              <w:left w:val="single" w:sz="4" w:space="0" w:color="000000"/>
              <w:bottom w:val="single" w:sz="4" w:space="0" w:color="auto"/>
              <w:right w:val="single" w:sz="4" w:space="0" w:color="000000"/>
            </w:tcBorders>
            <w:vAlign w:val="center"/>
          </w:tcPr>
          <w:p w14:paraId="38CC4F2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设区城市空气质量优良天数比例（%）</w:t>
            </w:r>
          </w:p>
        </w:tc>
        <w:tc>
          <w:tcPr>
            <w:tcW w:w="583" w:type="pct"/>
            <w:tcBorders>
              <w:top w:val="single" w:sz="4" w:space="0" w:color="auto"/>
              <w:left w:val="single" w:sz="4" w:space="0" w:color="000000"/>
              <w:bottom w:val="single" w:sz="4" w:space="0" w:color="auto"/>
              <w:right w:val="single" w:sz="4" w:space="0" w:color="000000"/>
            </w:tcBorders>
            <w:vAlign w:val="center"/>
          </w:tcPr>
          <w:p w14:paraId="11051D9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73.0</w:t>
            </w:r>
          </w:p>
        </w:tc>
        <w:tc>
          <w:tcPr>
            <w:tcW w:w="643" w:type="pct"/>
            <w:vMerge/>
            <w:tcBorders>
              <w:left w:val="single" w:sz="4" w:space="0" w:color="000000"/>
              <w:right w:val="single" w:sz="4" w:space="0" w:color="000000"/>
            </w:tcBorders>
            <w:vAlign w:val="center"/>
          </w:tcPr>
          <w:p w14:paraId="0C4D6AA6" w14:textId="77777777" w:rsidR="0017437C" w:rsidRPr="009A1767" w:rsidRDefault="0017437C">
            <w:pPr>
              <w:pStyle w:val="13"/>
              <w:spacing w:afterLines="0" w:line="276" w:lineRule="auto"/>
              <w:rPr>
                <w:rFonts w:ascii="仿宋_GB2312" w:eastAsia="仿宋_GB2312" w:hAnsi="Times New Roman"/>
                <w:sz w:val="21"/>
                <w:szCs w:val="21"/>
              </w:rPr>
            </w:pPr>
          </w:p>
        </w:tc>
        <w:tc>
          <w:tcPr>
            <w:tcW w:w="550" w:type="pct"/>
            <w:tcBorders>
              <w:top w:val="single" w:sz="4" w:space="0" w:color="auto"/>
              <w:left w:val="single" w:sz="4" w:space="0" w:color="000000"/>
              <w:bottom w:val="single" w:sz="4" w:space="0" w:color="auto"/>
              <w:right w:val="single" w:sz="4" w:space="0" w:color="000000"/>
            </w:tcBorders>
            <w:vAlign w:val="center"/>
          </w:tcPr>
          <w:p w14:paraId="110123A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0090CD9F" w14:textId="77777777">
        <w:trPr>
          <w:trHeight w:val="340"/>
          <w:jc w:val="center"/>
        </w:trPr>
        <w:tc>
          <w:tcPr>
            <w:tcW w:w="396" w:type="pct"/>
            <w:vMerge/>
            <w:tcBorders>
              <w:left w:val="single" w:sz="4" w:space="0" w:color="000000"/>
              <w:bottom w:val="single" w:sz="4" w:space="0" w:color="auto"/>
              <w:right w:val="single" w:sz="4" w:space="0" w:color="000000"/>
            </w:tcBorders>
            <w:vAlign w:val="center"/>
          </w:tcPr>
          <w:p w14:paraId="55DDD4AD"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3A34DE2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3</w:t>
            </w:r>
          </w:p>
        </w:tc>
        <w:tc>
          <w:tcPr>
            <w:tcW w:w="2495" w:type="pct"/>
            <w:tcBorders>
              <w:top w:val="single" w:sz="4" w:space="0" w:color="auto"/>
              <w:left w:val="single" w:sz="4" w:space="0" w:color="000000"/>
              <w:bottom w:val="single" w:sz="4" w:space="0" w:color="auto"/>
              <w:right w:val="single" w:sz="4" w:space="0" w:color="000000"/>
            </w:tcBorders>
            <w:vAlign w:val="center"/>
          </w:tcPr>
          <w:p w14:paraId="193BF1FD"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设区城市重污染天数比例（%）</w:t>
            </w:r>
          </w:p>
        </w:tc>
        <w:tc>
          <w:tcPr>
            <w:tcW w:w="583" w:type="pct"/>
            <w:tcBorders>
              <w:top w:val="single" w:sz="4" w:space="0" w:color="auto"/>
              <w:left w:val="single" w:sz="4" w:space="0" w:color="000000"/>
              <w:bottom w:val="single" w:sz="4" w:space="0" w:color="auto"/>
              <w:right w:val="single" w:sz="4" w:space="0" w:color="000000"/>
            </w:tcBorders>
            <w:vAlign w:val="center"/>
          </w:tcPr>
          <w:p w14:paraId="2BBF2CA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5（天）</w:t>
            </w:r>
          </w:p>
        </w:tc>
        <w:tc>
          <w:tcPr>
            <w:tcW w:w="643" w:type="pct"/>
            <w:vMerge/>
            <w:tcBorders>
              <w:left w:val="single" w:sz="4" w:space="0" w:color="000000"/>
              <w:bottom w:val="single" w:sz="4" w:space="0" w:color="auto"/>
              <w:right w:val="single" w:sz="4" w:space="0" w:color="000000"/>
            </w:tcBorders>
            <w:vAlign w:val="center"/>
          </w:tcPr>
          <w:p w14:paraId="602025C1" w14:textId="77777777" w:rsidR="0017437C" w:rsidRPr="009A1767" w:rsidRDefault="0017437C">
            <w:pPr>
              <w:pStyle w:val="13"/>
              <w:spacing w:afterLines="0" w:line="276" w:lineRule="auto"/>
              <w:rPr>
                <w:rFonts w:ascii="仿宋_GB2312" w:eastAsia="仿宋_GB2312" w:hAnsi="Times New Roman"/>
                <w:sz w:val="21"/>
                <w:szCs w:val="21"/>
              </w:rPr>
            </w:pPr>
          </w:p>
        </w:tc>
        <w:tc>
          <w:tcPr>
            <w:tcW w:w="550" w:type="pct"/>
            <w:tcBorders>
              <w:top w:val="single" w:sz="4" w:space="0" w:color="auto"/>
              <w:left w:val="single" w:sz="4" w:space="0" w:color="000000"/>
              <w:bottom w:val="single" w:sz="4" w:space="0" w:color="auto"/>
              <w:right w:val="single" w:sz="4" w:space="0" w:color="000000"/>
            </w:tcBorders>
            <w:vAlign w:val="center"/>
          </w:tcPr>
          <w:p w14:paraId="4C55545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4134CC15" w14:textId="77777777">
        <w:trPr>
          <w:trHeight w:val="340"/>
          <w:jc w:val="center"/>
        </w:trPr>
        <w:tc>
          <w:tcPr>
            <w:tcW w:w="396" w:type="pct"/>
            <w:vMerge w:val="restart"/>
            <w:tcBorders>
              <w:top w:val="single" w:sz="4" w:space="0" w:color="000000"/>
              <w:left w:val="single" w:sz="4" w:space="0" w:color="000000"/>
              <w:right w:val="single" w:sz="4" w:space="0" w:color="000000"/>
            </w:tcBorders>
            <w:vAlign w:val="center"/>
          </w:tcPr>
          <w:p w14:paraId="4E2CFB97"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水环境质量改善</w:t>
            </w:r>
          </w:p>
        </w:tc>
        <w:tc>
          <w:tcPr>
            <w:tcW w:w="333" w:type="pct"/>
            <w:tcBorders>
              <w:top w:val="single" w:sz="4" w:space="0" w:color="auto"/>
              <w:left w:val="single" w:sz="4" w:space="0" w:color="000000"/>
              <w:bottom w:val="single" w:sz="4" w:space="0" w:color="auto"/>
              <w:right w:val="single" w:sz="4" w:space="0" w:color="000000"/>
            </w:tcBorders>
            <w:vAlign w:val="center"/>
          </w:tcPr>
          <w:p w14:paraId="2EBCBDDA"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4</w:t>
            </w:r>
          </w:p>
        </w:tc>
        <w:tc>
          <w:tcPr>
            <w:tcW w:w="2495" w:type="pct"/>
            <w:tcBorders>
              <w:top w:val="single" w:sz="4" w:space="0" w:color="auto"/>
              <w:left w:val="single" w:sz="4" w:space="0" w:color="000000"/>
              <w:bottom w:val="single" w:sz="4" w:space="0" w:color="auto"/>
              <w:right w:val="single" w:sz="4" w:space="0" w:color="000000"/>
            </w:tcBorders>
            <w:vAlign w:val="center"/>
          </w:tcPr>
          <w:p w14:paraId="19CC2C04"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县级及以上城市集中式饮用水水源水质达到或优于</w:t>
            </w:r>
            <w:r w:rsidRPr="009A1767">
              <w:rPr>
                <w:rFonts w:ascii="仿宋_GB2312" w:eastAsia="仿宋_GB2312" w:cs="宋体" w:hint="eastAsia"/>
                <w:sz w:val="21"/>
                <w:szCs w:val="21"/>
              </w:rPr>
              <w:t>Ⅲ</w:t>
            </w:r>
            <w:r w:rsidRPr="009A1767">
              <w:rPr>
                <w:rFonts w:ascii="仿宋_GB2312" w:eastAsia="仿宋_GB2312" w:hAnsi="Times New Roman" w:hint="eastAsia"/>
                <w:sz w:val="21"/>
                <w:szCs w:val="21"/>
              </w:rPr>
              <w:t>类比例（%）</w:t>
            </w:r>
          </w:p>
        </w:tc>
        <w:tc>
          <w:tcPr>
            <w:tcW w:w="583" w:type="pct"/>
            <w:tcBorders>
              <w:top w:val="single" w:sz="4" w:space="0" w:color="auto"/>
              <w:left w:val="single" w:sz="4" w:space="0" w:color="000000"/>
              <w:bottom w:val="single" w:sz="4" w:space="0" w:color="auto"/>
              <w:right w:val="single" w:sz="4" w:space="0" w:color="000000"/>
            </w:tcBorders>
            <w:vAlign w:val="center"/>
          </w:tcPr>
          <w:p w14:paraId="48C1446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100 (扣除本底值超标)</w:t>
            </w:r>
          </w:p>
        </w:tc>
        <w:tc>
          <w:tcPr>
            <w:tcW w:w="643" w:type="pct"/>
            <w:tcBorders>
              <w:top w:val="single" w:sz="4" w:space="0" w:color="auto"/>
              <w:left w:val="single" w:sz="4" w:space="0" w:color="000000"/>
              <w:bottom w:val="single" w:sz="4" w:space="0" w:color="auto"/>
              <w:right w:val="single" w:sz="4" w:space="0" w:color="000000"/>
            </w:tcBorders>
            <w:vAlign w:val="center"/>
          </w:tcPr>
          <w:p w14:paraId="396B2BE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100 (扣除本底值超标)</w:t>
            </w:r>
          </w:p>
        </w:tc>
        <w:tc>
          <w:tcPr>
            <w:tcW w:w="550" w:type="pct"/>
            <w:tcBorders>
              <w:top w:val="single" w:sz="4" w:space="0" w:color="auto"/>
              <w:left w:val="single" w:sz="4" w:space="0" w:color="000000"/>
              <w:bottom w:val="single" w:sz="4" w:space="0" w:color="auto"/>
              <w:right w:val="single" w:sz="4" w:space="0" w:color="000000"/>
            </w:tcBorders>
            <w:vAlign w:val="center"/>
          </w:tcPr>
          <w:p w14:paraId="5F7FB44D"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预期性</w:t>
            </w:r>
          </w:p>
        </w:tc>
      </w:tr>
      <w:tr w:rsidR="0017437C" w:rsidRPr="009A1767" w14:paraId="6B6E21F4" w14:textId="77777777">
        <w:trPr>
          <w:trHeight w:val="340"/>
          <w:jc w:val="center"/>
        </w:trPr>
        <w:tc>
          <w:tcPr>
            <w:tcW w:w="396" w:type="pct"/>
            <w:vMerge/>
            <w:tcBorders>
              <w:left w:val="single" w:sz="4" w:space="0" w:color="000000"/>
              <w:right w:val="single" w:sz="4" w:space="0" w:color="000000"/>
            </w:tcBorders>
            <w:vAlign w:val="center"/>
          </w:tcPr>
          <w:p w14:paraId="218620DD"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31A792F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5</w:t>
            </w:r>
          </w:p>
        </w:tc>
        <w:tc>
          <w:tcPr>
            <w:tcW w:w="2495" w:type="pct"/>
            <w:tcBorders>
              <w:top w:val="single" w:sz="4" w:space="0" w:color="auto"/>
              <w:left w:val="single" w:sz="4" w:space="0" w:color="000000"/>
              <w:bottom w:val="single" w:sz="4" w:space="0" w:color="auto"/>
              <w:right w:val="single" w:sz="4" w:space="0" w:color="000000"/>
            </w:tcBorders>
            <w:vAlign w:val="center"/>
          </w:tcPr>
          <w:p w14:paraId="04BD7E39"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地表水质量达到或优于</w:t>
            </w:r>
            <w:r w:rsidRPr="009A1767">
              <w:rPr>
                <w:rFonts w:ascii="仿宋_GB2312" w:eastAsia="仿宋_GB2312" w:cs="宋体" w:hint="eastAsia"/>
                <w:sz w:val="21"/>
                <w:szCs w:val="21"/>
              </w:rPr>
              <w:t>Ⅲ</w:t>
            </w:r>
            <w:r w:rsidRPr="009A1767">
              <w:rPr>
                <w:rFonts w:ascii="仿宋_GB2312" w:eastAsia="仿宋_GB2312" w:hAnsi="Times New Roman" w:hint="eastAsia"/>
                <w:sz w:val="21"/>
                <w:szCs w:val="21"/>
              </w:rPr>
              <w:t>类水体比例（%）</w:t>
            </w:r>
          </w:p>
        </w:tc>
        <w:tc>
          <w:tcPr>
            <w:tcW w:w="583" w:type="pct"/>
            <w:tcBorders>
              <w:top w:val="single" w:sz="4" w:space="0" w:color="auto"/>
              <w:left w:val="single" w:sz="4" w:space="0" w:color="000000"/>
              <w:bottom w:val="single" w:sz="4" w:space="0" w:color="auto"/>
              <w:right w:val="single" w:sz="4" w:space="0" w:color="000000"/>
            </w:tcBorders>
            <w:vAlign w:val="center"/>
          </w:tcPr>
          <w:p w14:paraId="74A0138A"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72.73</w:t>
            </w:r>
          </w:p>
        </w:tc>
        <w:tc>
          <w:tcPr>
            <w:tcW w:w="643" w:type="pct"/>
            <w:tcBorders>
              <w:top w:val="single" w:sz="4" w:space="0" w:color="auto"/>
              <w:left w:val="single" w:sz="4" w:space="0" w:color="000000"/>
              <w:bottom w:val="single" w:sz="4" w:space="0" w:color="auto"/>
              <w:right w:val="single" w:sz="4" w:space="0" w:color="000000"/>
            </w:tcBorders>
            <w:vAlign w:val="center"/>
          </w:tcPr>
          <w:p w14:paraId="3C1A963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完成省下达目标</w:t>
            </w:r>
          </w:p>
        </w:tc>
        <w:tc>
          <w:tcPr>
            <w:tcW w:w="550" w:type="pct"/>
            <w:tcBorders>
              <w:top w:val="single" w:sz="4" w:space="0" w:color="auto"/>
              <w:left w:val="single" w:sz="4" w:space="0" w:color="000000"/>
              <w:bottom w:val="single" w:sz="4" w:space="0" w:color="auto"/>
              <w:right w:val="single" w:sz="4" w:space="0" w:color="000000"/>
            </w:tcBorders>
            <w:vAlign w:val="center"/>
          </w:tcPr>
          <w:p w14:paraId="6302546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76A7E571" w14:textId="77777777">
        <w:trPr>
          <w:trHeight w:val="340"/>
          <w:jc w:val="center"/>
        </w:trPr>
        <w:tc>
          <w:tcPr>
            <w:tcW w:w="396" w:type="pct"/>
            <w:vMerge/>
            <w:tcBorders>
              <w:left w:val="single" w:sz="4" w:space="0" w:color="000000"/>
              <w:right w:val="single" w:sz="4" w:space="0" w:color="000000"/>
            </w:tcBorders>
            <w:vAlign w:val="center"/>
          </w:tcPr>
          <w:p w14:paraId="7B19829A"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1CB43C9E"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6</w:t>
            </w:r>
          </w:p>
        </w:tc>
        <w:tc>
          <w:tcPr>
            <w:tcW w:w="2495" w:type="pct"/>
            <w:tcBorders>
              <w:top w:val="single" w:sz="4" w:space="0" w:color="auto"/>
              <w:left w:val="single" w:sz="4" w:space="0" w:color="000000"/>
              <w:bottom w:val="single" w:sz="4" w:space="0" w:color="auto"/>
              <w:right w:val="single" w:sz="4" w:space="0" w:color="000000"/>
            </w:tcBorders>
            <w:vAlign w:val="center"/>
          </w:tcPr>
          <w:p w14:paraId="498637D0"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地表水劣V类水体的比例（%）</w:t>
            </w:r>
          </w:p>
        </w:tc>
        <w:tc>
          <w:tcPr>
            <w:tcW w:w="583" w:type="pct"/>
            <w:tcBorders>
              <w:top w:val="single" w:sz="4" w:space="0" w:color="auto"/>
              <w:left w:val="single" w:sz="4" w:space="0" w:color="000000"/>
              <w:bottom w:val="single" w:sz="4" w:space="0" w:color="auto"/>
              <w:right w:val="single" w:sz="4" w:space="0" w:color="000000"/>
            </w:tcBorders>
            <w:vAlign w:val="center"/>
          </w:tcPr>
          <w:p w14:paraId="3D180C2A"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0</w:t>
            </w:r>
          </w:p>
        </w:tc>
        <w:tc>
          <w:tcPr>
            <w:tcW w:w="643" w:type="pct"/>
            <w:tcBorders>
              <w:top w:val="single" w:sz="4" w:space="0" w:color="auto"/>
              <w:left w:val="single" w:sz="4" w:space="0" w:color="000000"/>
              <w:bottom w:val="single" w:sz="4" w:space="0" w:color="auto"/>
              <w:right w:val="single" w:sz="4" w:space="0" w:color="000000"/>
            </w:tcBorders>
            <w:vAlign w:val="center"/>
          </w:tcPr>
          <w:p w14:paraId="5E978CC9"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0</w:t>
            </w:r>
          </w:p>
        </w:tc>
        <w:tc>
          <w:tcPr>
            <w:tcW w:w="550" w:type="pct"/>
            <w:tcBorders>
              <w:top w:val="single" w:sz="4" w:space="0" w:color="auto"/>
              <w:left w:val="single" w:sz="4" w:space="0" w:color="000000"/>
              <w:bottom w:val="single" w:sz="4" w:space="0" w:color="auto"/>
              <w:right w:val="single" w:sz="4" w:space="0" w:color="000000"/>
            </w:tcBorders>
            <w:vAlign w:val="center"/>
          </w:tcPr>
          <w:p w14:paraId="7700D99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600392D9" w14:textId="77777777">
        <w:trPr>
          <w:trHeight w:val="340"/>
          <w:jc w:val="center"/>
        </w:trPr>
        <w:tc>
          <w:tcPr>
            <w:tcW w:w="396" w:type="pct"/>
            <w:vMerge/>
            <w:tcBorders>
              <w:left w:val="single" w:sz="4" w:space="0" w:color="000000"/>
              <w:right w:val="single" w:sz="4" w:space="0" w:color="000000"/>
            </w:tcBorders>
            <w:vAlign w:val="center"/>
          </w:tcPr>
          <w:p w14:paraId="221A28CC"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609BE09E"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7</w:t>
            </w:r>
          </w:p>
        </w:tc>
        <w:tc>
          <w:tcPr>
            <w:tcW w:w="2495" w:type="pct"/>
            <w:tcBorders>
              <w:top w:val="single" w:sz="4" w:space="0" w:color="auto"/>
              <w:left w:val="single" w:sz="4" w:space="0" w:color="000000"/>
              <w:bottom w:val="single" w:sz="4" w:space="0" w:color="auto"/>
              <w:right w:val="single" w:sz="4" w:space="0" w:color="000000"/>
            </w:tcBorders>
            <w:vAlign w:val="center"/>
          </w:tcPr>
          <w:p w14:paraId="5704E450"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int="eastAsia"/>
                <w:sz w:val="21"/>
                <w:szCs w:val="21"/>
              </w:rPr>
              <w:t>县级及以上城市建成区黑臭水体比例</w:t>
            </w:r>
            <w:r w:rsidRPr="009A1767">
              <w:rPr>
                <w:rFonts w:ascii="仿宋_GB2312" w:eastAsia="仿宋_GB2312" w:hAnsi="Times New Roman" w:hint="eastAsia"/>
                <w:sz w:val="21"/>
                <w:szCs w:val="21"/>
              </w:rPr>
              <w:t>（%）</w:t>
            </w:r>
          </w:p>
        </w:tc>
        <w:tc>
          <w:tcPr>
            <w:tcW w:w="583" w:type="pct"/>
            <w:tcBorders>
              <w:top w:val="single" w:sz="4" w:space="0" w:color="auto"/>
              <w:left w:val="single" w:sz="4" w:space="0" w:color="000000"/>
              <w:bottom w:val="single" w:sz="4" w:space="0" w:color="auto"/>
              <w:right w:val="single" w:sz="4" w:space="0" w:color="000000"/>
            </w:tcBorders>
            <w:vAlign w:val="center"/>
          </w:tcPr>
          <w:p w14:paraId="71B7C5D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kern w:val="0"/>
                <w:sz w:val="21"/>
                <w:szCs w:val="21"/>
              </w:rPr>
              <w:t>6.25%</w:t>
            </w:r>
          </w:p>
        </w:tc>
        <w:tc>
          <w:tcPr>
            <w:tcW w:w="643" w:type="pct"/>
            <w:tcBorders>
              <w:top w:val="single" w:sz="4" w:space="0" w:color="auto"/>
              <w:left w:val="single" w:sz="4" w:space="0" w:color="000000"/>
              <w:bottom w:val="single" w:sz="4" w:space="0" w:color="auto"/>
              <w:right w:val="single" w:sz="4" w:space="0" w:color="000000"/>
            </w:tcBorders>
            <w:vAlign w:val="center"/>
          </w:tcPr>
          <w:p w14:paraId="322F0309"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0</w:t>
            </w:r>
          </w:p>
        </w:tc>
        <w:tc>
          <w:tcPr>
            <w:tcW w:w="550" w:type="pct"/>
            <w:tcBorders>
              <w:top w:val="single" w:sz="4" w:space="0" w:color="auto"/>
              <w:left w:val="single" w:sz="4" w:space="0" w:color="000000"/>
              <w:bottom w:val="single" w:sz="4" w:space="0" w:color="auto"/>
              <w:right w:val="single" w:sz="4" w:space="0" w:color="000000"/>
            </w:tcBorders>
            <w:vAlign w:val="center"/>
          </w:tcPr>
          <w:p w14:paraId="50943008"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预期性</w:t>
            </w:r>
          </w:p>
        </w:tc>
      </w:tr>
      <w:tr w:rsidR="0017437C" w:rsidRPr="009A1767" w14:paraId="46BB16B0" w14:textId="77777777">
        <w:trPr>
          <w:trHeight w:val="340"/>
          <w:jc w:val="center"/>
        </w:trPr>
        <w:tc>
          <w:tcPr>
            <w:tcW w:w="396" w:type="pct"/>
            <w:vMerge/>
            <w:tcBorders>
              <w:left w:val="single" w:sz="4" w:space="0" w:color="000000"/>
              <w:right w:val="single" w:sz="4" w:space="0" w:color="000000"/>
            </w:tcBorders>
            <w:vAlign w:val="center"/>
          </w:tcPr>
          <w:p w14:paraId="042576E9"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2C4F8796"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8</w:t>
            </w:r>
          </w:p>
        </w:tc>
        <w:tc>
          <w:tcPr>
            <w:tcW w:w="2495" w:type="pct"/>
            <w:tcBorders>
              <w:top w:val="single" w:sz="4" w:space="0" w:color="auto"/>
              <w:left w:val="single" w:sz="4" w:space="0" w:color="000000"/>
              <w:bottom w:val="single" w:sz="4" w:space="0" w:color="auto"/>
              <w:right w:val="single" w:sz="4" w:space="0" w:color="000000"/>
            </w:tcBorders>
            <w:vAlign w:val="center"/>
          </w:tcPr>
          <w:p w14:paraId="02114F27" w14:textId="77777777" w:rsidR="0017437C" w:rsidRPr="009A1767" w:rsidRDefault="0053037A">
            <w:pPr>
              <w:pStyle w:val="13"/>
              <w:spacing w:afterLines="0" w:line="276" w:lineRule="auto"/>
              <w:rPr>
                <w:rFonts w:ascii="仿宋_GB2312" w:eastAsia="仿宋_GB2312"/>
                <w:sz w:val="21"/>
                <w:szCs w:val="21"/>
              </w:rPr>
            </w:pPr>
            <w:r w:rsidRPr="009A1767">
              <w:rPr>
                <w:rFonts w:ascii="仿宋_GB2312" w:eastAsia="仿宋_GB2312" w:hint="eastAsia"/>
                <w:sz w:val="21"/>
                <w:szCs w:val="21"/>
              </w:rPr>
              <w:t>地下水质量</w:t>
            </w:r>
            <w:r w:rsidRPr="009A1767">
              <w:rPr>
                <w:rFonts w:ascii="仿宋_GB2312" w:eastAsia="仿宋_GB2312" w:hAnsi="Times New Roman" w:hint="eastAsia"/>
                <w:sz w:val="21"/>
                <w:szCs w:val="21"/>
              </w:rPr>
              <w:t>V类水比例（%）</w:t>
            </w:r>
          </w:p>
        </w:tc>
        <w:tc>
          <w:tcPr>
            <w:tcW w:w="583" w:type="pct"/>
            <w:tcBorders>
              <w:top w:val="single" w:sz="4" w:space="0" w:color="auto"/>
              <w:left w:val="single" w:sz="4" w:space="0" w:color="000000"/>
              <w:bottom w:val="single" w:sz="4" w:space="0" w:color="auto"/>
              <w:right w:val="single" w:sz="4" w:space="0" w:color="000000"/>
            </w:tcBorders>
            <w:vAlign w:val="center"/>
          </w:tcPr>
          <w:p w14:paraId="6D162D7C" w14:textId="77777777" w:rsidR="0017437C" w:rsidRPr="009A1767" w:rsidRDefault="0053037A">
            <w:pPr>
              <w:pStyle w:val="13"/>
              <w:spacing w:afterLines="0" w:line="276" w:lineRule="auto"/>
              <w:rPr>
                <w:rFonts w:ascii="仿宋_GB2312" w:eastAsia="仿宋_GB2312" w:hAnsi="Times New Roman"/>
                <w:kern w:val="0"/>
                <w:sz w:val="21"/>
                <w:szCs w:val="21"/>
              </w:rPr>
            </w:pPr>
            <w:r w:rsidRPr="009A1767">
              <w:rPr>
                <w:rFonts w:ascii="仿宋_GB2312" w:eastAsia="仿宋_GB2312" w:hAnsi="Times New Roman" w:hint="eastAsia"/>
                <w:kern w:val="0"/>
                <w:sz w:val="21"/>
                <w:szCs w:val="21"/>
              </w:rPr>
              <w:t>/</w:t>
            </w:r>
          </w:p>
        </w:tc>
        <w:tc>
          <w:tcPr>
            <w:tcW w:w="643" w:type="pct"/>
            <w:tcBorders>
              <w:top w:val="single" w:sz="4" w:space="0" w:color="auto"/>
              <w:left w:val="single" w:sz="4" w:space="0" w:color="000000"/>
              <w:bottom w:val="single" w:sz="4" w:space="0" w:color="auto"/>
              <w:right w:val="single" w:sz="4" w:space="0" w:color="000000"/>
            </w:tcBorders>
            <w:vAlign w:val="center"/>
          </w:tcPr>
          <w:p w14:paraId="06DBCF3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完成省下达目标</w:t>
            </w:r>
          </w:p>
        </w:tc>
        <w:tc>
          <w:tcPr>
            <w:tcW w:w="550" w:type="pct"/>
            <w:tcBorders>
              <w:top w:val="single" w:sz="4" w:space="0" w:color="auto"/>
              <w:left w:val="single" w:sz="4" w:space="0" w:color="000000"/>
              <w:bottom w:val="single" w:sz="4" w:space="0" w:color="auto"/>
              <w:right w:val="single" w:sz="4" w:space="0" w:color="000000"/>
            </w:tcBorders>
            <w:vAlign w:val="center"/>
          </w:tcPr>
          <w:p w14:paraId="39A9EB77"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预期性</w:t>
            </w:r>
          </w:p>
        </w:tc>
      </w:tr>
      <w:tr w:rsidR="0017437C" w:rsidRPr="009A1767" w14:paraId="03AA910B" w14:textId="77777777">
        <w:trPr>
          <w:trHeight w:val="340"/>
          <w:jc w:val="center"/>
        </w:trPr>
        <w:tc>
          <w:tcPr>
            <w:tcW w:w="396" w:type="pct"/>
            <w:vMerge/>
            <w:tcBorders>
              <w:left w:val="single" w:sz="4" w:space="0" w:color="000000"/>
              <w:right w:val="single" w:sz="4" w:space="0" w:color="000000"/>
            </w:tcBorders>
            <w:vAlign w:val="center"/>
          </w:tcPr>
          <w:p w14:paraId="12622B57"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5B25746E"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9</w:t>
            </w:r>
          </w:p>
        </w:tc>
        <w:tc>
          <w:tcPr>
            <w:tcW w:w="2495" w:type="pct"/>
            <w:tcBorders>
              <w:top w:val="single" w:sz="4" w:space="0" w:color="auto"/>
              <w:left w:val="single" w:sz="4" w:space="0" w:color="000000"/>
              <w:bottom w:val="single" w:sz="4" w:space="0" w:color="auto"/>
              <w:right w:val="single" w:sz="4" w:space="0" w:color="000000"/>
            </w:tcBorders>
            <w:vAlign w:val="center"/>
          </w:tcPr>
          <w:p w14:paraId="46F0994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sz w:val="21"/>
                <w:szCs w:val="21"/>
              </w:rPr>
              <w:t>农村生活污水治理率</w:t>
            </w:r>
            <w:r w:rsidRPr="009A1767">
              <w:rPr>
                <w:rFonts w:ascii="仿宋_GB2312" w:eastAsia="仿宋_GB2312" w:hAnsi="Times New Roman" w:hint="eastAsia"/>
                <w:sz w:val="21"/>
                <w:szCs w:val="21"/>
              </w:rPr>
              <w:t>（%）</w:t>
            </w:r>
          </w:p>
        </w:tc>
        <w:tc>
          <w:tcPr>
            <w:tcW w:w="583" w:type="pct"/>
            <w:tcBorders>
              <w:top w:val="single" w:sz="4" w:space="0" w:color="auto"/>
              <w:left w:val="single" w:sz="4" w:space="0" w:color="000000"/>
              <w:bottom w:val="single" w:sz="4" w:space="0" w:color="auto"/>
              <w:right w:val="single" w:sz="4" w:space="0" w:color="000000"/>
            </w:tcBorders>
            <w:vAlign w:val="center"/>
          </w:tcPr>
          <w:p w14:paraId="1734C8D5" w14:textId="77777777" w:rsidR="0017437C" w:rsidRPr="009A1767" w:rsidRDefault="0017437C">
            <w:pPr>
              <w:pStyle w:val="13"/>
              <w:spacing w:afterLines="0" w:line="276" w:lineRule="auto"/>
              <w:rPr>
                <w:rFonts w:ascii="仿宋_GB2312" w:eastAsia="仿宋_GB2312" w:hAnsi="Times New Roman"/>
                <w:sz w:val="21"/>
                <w:szCs w:val="21"/>
              </w:rPr>
            </w:pPr>
          </w:p>
        </w:tc>
        <w:tc>
          <w:tcPr>
            <w:tcW w:w="643" w:type="pct"/>
            <w:tcBorders>
              <w:top w:val="single" w:sz="4" w:space="0" w:color="auto"/>
              <w:left w:val="single" w:sz="4" w:space="0" w:color="000000"/>
              <w:bottom w:val="single" w:sz="4" w:space="0" w:color="auto"/>
              <w:right w:val="single" w:sz="4" w:space="0" w:color="000000"/>
            </w:tcBorders>
            <w:vAlign w:val="center"/>
          </w:tcPr>
          <w:p w14:paraId="5F0941E8"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完成省下达目标</w:t>
            </w:r>
          </w:p>
        </w:tc>
        <w:tc>
          <w:tcPr>
            <w:tcW w:w="550" w:type="pct"/>
            <w:tcBorders>
              <w:top w:val="single" w:sz="4" w:space="0" w:color="auto"/>
              <w:left w:val="single" w:sz="4" w:space="0" w:color="000000"/>
              <w:bottom w:val="single" w:sz="4" w:space="0" w:color="auto"/>
              <w:right w:val="single" w:sz="4" w:space="0" w:color="000000"/>
            </w:tcBorders>
            <w:vAlign w:val="center"/>
          </w:tcPr>
          <w:p w14:paraId="013259C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预期性</w:t>
            </w:r>
          </w:p>
        </w:tc>
      </w:tr>
      <w:tr w:rsidR="0017437C" w:rsidRPr="009A1767" w14:paraId="52933B7E" w14:textId="77777777">
        <w:trPr>
          <w:trHeight w:val="340"/>
          <w:jc w:val="center"/>
        </w:trPr>
        <w:tc>
          <w:tcPr>
            <w:tcW w:w="396" w:type="pct"/>
            <w:vMerge w:val="restart"/>
            <w:tcBorders>
              <w:left w:val="single" w:sz="4" w:space="0" w:color="000000"/>
              <w:right w:val="single" w:sz="4" w:space="0" w:color="000000"/>
            </w:tcBorders>
            <w:vAlign w:val="center"/>
          </w:tcPr>
          <w:p w14:paraId="418B087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主要污染物总量控制</w:t>
            </w:r>
          </w:p>
        </w:tc>
        <w:tc>
          <w:tcPr>
            <w:tcW w:w="333" w:type="pct"/>
            <w:tcBorders>
              <w:top w:val="single" w:sz="4" w:space="0" w:color="auto"/>
              <w:left w:val="single" w:sz="4" w:space="0" w:color="000000"/>
              <w:bottom w:val="single" w:sz="4" w:space="0" w:color="auto"/>
              <w:right w:val="single" w:sz="4" w:space="0" w:color="000000"/>
            </w:tcBorders>
            <w:vAlign w:val="center"/>
          </w:tcPr>
          <w:p w14:paraId="0DD1C9A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10</w:t>
            </w:r>
          </w:p>
        </w:tc>
        <w:tc>
          <w:tcPr>
            <w:tcW w:w="2495" w:type="pct"/>
            <w:tcBorders>
              <w:top w:val="single" w:sz="4" w:space="0" w:color="auto"/>
              <w:left w:val="single" w:sz="4" w:space="0" w:color="000000"/>
              <w:bottom w:val="single" w:sz="4" w:space="0" w:color="auto"/>
              <w:right w:val="single" w:sz="4" w:space="0" w:color="000000"/>
            </w:tcBorders>
            <w:vAlign w:val="center"/>
          </w:tcPr>
          <w:p w14:paraId="4431301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化学需氧量重点工程减排量（t）</w:t>
            </w:r>
          </w:p>
        </w:tc>
        <w:tc>
          <w:tcPr>
            <w:tcW w:w="583" w:type="pct"/>
            <w:tcBorders>
              <w:top w:val="single" w:sz="4" w:space="0" w:color="auto"/>
              <w:left w:val="single" w:sz="4" w:space="0" w:color="000000"/>
              <w:bottom w:val="single" w:sz="4" w:space="0" w:color="auto"/>
              <w:right w:val="single" w:sz="4" w:space="0" w:color="000000"/>
            </w:tcBorders>
            <w:vAlign w:val="center"/>
          </w:tcPr>
          <w:p w14:paraId="2E0F56F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w:t>
            </w:r>
          </w:p>
        </w:tc>
        <w:tc>
          <w:tcPr>
            <w:tcW w:w="643" w:type="pct"/>
            <w:vMerge w:val="restart"/>
            <w:tcBorders>
              <w:top w:val="single" w:sz="4" w:space="0" w:color="auto"/>
              <w:left w:val="single" w:sz="4" w:space="0" w:color="000000"/>
              <w:right w:val="single" w:sz="4" w:space="0" w:color="000000"/>
            </w:tcBorders>
            <w:vAlign w:val="center"/>
          </w:tcPr>
          <w:p w14:paraId="1D8950A7" w14:textId="77777777" w:rsidR="0017437C" w:rsidRPr="009A1767" w:rsidRDefault="0053037A">
            <w:pPr>
              <w:pStyle w:val="13"/>
              <w:spacing w:after="217"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完成省下达目标</w:t>
            </w:r>
          </w:p>
        </w:tc>
        <w:tc>
          <w:tcPr>
            <w:tcW w:w="550" w:type="pct"/>
            <w:tcBorders>
              <w:top w:val="single" w:sz="4" w:space="0" w:color="auto"/>
              <w:left w:val="single" w:sz="4" w:space="0" w:color="000000"/>
              <w:bottom w:val="single" w:sz="4" w:space="0" w:color="auto"/>
              <w:right w:val="single" w:sz="4" w:space="0" w:color="000000"/>
            </w:tcBorders>
            <w:vAlign w:val="center"/>
          </w:tcPr>
          <w:p w14:paraId="37E7CC3E"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15664009" w14:textId="77777777">
        <w:trPr>
          <w:trHeight w:val="340"/>
          <w:jc w:val="center"/>
        </w:trPr>
        <w:tc>
          <w:tcPr>
            <w:tcW w:w="396" w:type="pct"/>
            <w:vMerge/>
            <w:tcBorders>
              <w:left w:val="single" w:sz="4" w:space="0" w:color="000000"/>
              <w:right w:val="single" w:sz="4" w:space="0" w:color="000000"/>
            </w:tcBorders>
            <w:vAlign w:val="center"/>
          </w:tcPr>
          <w:p w14:paraId="755E29DC"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3878DC00"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11</w:t>
            </w:r>
          </w:p>
        </w:tc>
        <w:tc>
          <w:tcPr>
            <w:tcW w:w="2495" w:type="pct"/>
            <w:tcBorders>
              <w:top w:val="single" w:sz="4" w:space="0" w:color="auto"/>
              <w:left w:val="single" w:sz="4" w:space="0" w:color="000000"/>
              <w:bottom w:val="single" w:sz="4" w:space="0" w:color="auto"/>
              <w:right w:val="single" w:sz="4" w:space="0" w:color="000000"/>
            </w:tcBorders>
            <w:vAlign w:val="center"/>
          </w:tcPr>
          <w:p w14:paraId="0F9CC83D"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氨氮重点工程减排量（t）</w:t>
            </w:r>
          </w:p>
        </w:tc>
        <w:tc>
          <w:tcPr>
            <w:tcW w:w="583" w:type="pct"/>
            <w:tcBorders>
              <w:top w:val="single" w:sz="4" w:space="0" w:color="auto"/>
              <w:left w:val="single" w:sz="4" w:space="0" w:color="000000"/>
              <w:bottom w:val="single" w:sz="4" w:space="0" w:color="auto"/>
              <w:right w:val="single" w:sz="4" w:space="0" w:color="000000"/>
            </w:tcBorders>
            <w:vAlign w:val="center"/>
          </w:tcPr>
          <w:p w14:paraId="0CBA96A4"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w:t>
            </w:r>
          </w:p>
        </w:tc>
        <w:tc>
          <w:tcPr>
            <w:tcW w:w="643" w:type="pct"/>
            <w:vMerge/>
            <w:tcBorders>
              <w:left w:val="single" w:sz="4" w:space="0" w:color="000000"/>
              <w:right w:val="single" w:sz="4" w:space="0" w:color="000000"/>
            </w:tcBorders>
            <w:vAlign w:val="center"/>
          </w:tcPr>
          <w:p w14:paraId="6D31DA2E" w14:textId="77777777" w:rsidR="0017437C" w:rsidRPr="009A1767" w:rsidRDefault="0017437C">
            <w:pPr>
              <w:pStyle w:val="13"/>
              <w:spacing w:after="217" w:line="276" w:lineRule="auto"/>
              <w:rPr>
                <w:rFonts w:ascii="仿宋_GB2312" w:eastAsia="仿宋_GB2312" w:hAnsi="Times New Roman"/>
                <w:sz w:val="21"/>
                <w:szCs w:val="21"/>
              </w:rPr>
            </w:pPr>
          </w:p>
        </w:tc>
        <w:tc>
          <w:tcPr>
            <w:tcW w:w="550" w:type="pct"/>
            <w:tcBorders>
              <w:top w:val="single" w:sz="4" w:space="0" w:color="auto"/>
              <w:left w:val="single" w:sz="4" w:space="0" w:color="000000"/>
              <w:bottom w:val="single" w:sz="4" w:space="0" w:color="auto"/>
              <w:right w:val="single" w:sz="4" w:space="0" w:color="000000"/>
            </w:tcBorders>
            <w:vAlign w:val="center"/>
          </w:tcPr>
          <w:p w14:paraId="2C8C174A"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6CA51A93" w14:textId="77777777">
        <w:trPr>
          <w:trHeight w:val="340"/>
          <w:jc w:val="center"/>
        </w:trPr>
        <w:tc>
          <w:tcPr>
            <w:tcW w:w="396" w:type="pct"/>
            <w:vMerge/>
            <w:tcBorders>
              <w:left w:val="single" w:sz="4" w:space="0" w:color="000000"/>
              <w:right w:val="single" w:sz="4" w:space="0" w:color="000000"/>
            </w:tcBorders>
            <w:vAlign w:val="center"/>
          </w:tcPr>
          <w:p w14:paraId="0EB35E0F"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122C0F30"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12</w:t>
            </w:r>
          </w:p>
        </w:tc>
        <w:tc>
          <w:tcPr>
            <w:tcW w:w="2495" w:type="pct"/>
            <w:tcBorders>
              <w:top w:val="single" w:sz="4" w:space="0" w:color="auto"/>
              <w:left w:val="single" w:sz="4" w:space="0" w:color="000000"/>
              <w:bottom w:val="single" w:sz="4" w:space="0" w:color="auto"/>
              <w:right w:val="single" w:sz="4" w:space="0" w:color="000000"/>
            </w:tcBorders>
            <w:vAlign w:val="center"/>
          </w:tcPr>
          <w:p w14:paraId="3F4F5E9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氮氧化物重点工程排减排量（t）</w:t>
            </w:r>
          </w:p>
        </w:tc>
        <w:tc>
          <w:tcPr>
            <w:tcW w:w="583" w:type="pct"/>
            <w:tcBorders>
              <w:top w:val="single" w:sz="4" w:space="0" w:color="auto"/>
              <w:left w:val="single" w:sz="4" w:space="0" w:color="000000"/>
              <w:bottom w:val="single" w:sz="4" w:space="0" w:color="auto"/>
              <w:right w:val="single" w:sz="4" w:space="0" w:color="000000"/>
            </w:tcBorders>
            <w:vAlign w:val="center"/>
          </w:tcPr>
          <w:p w14:paraId="62EC522B" w14:textId="77777777" w:rsidR="0017437C" w:rsidRPr="009A1767" w:rsidRDefault="0053037A">
            <w:pPr>
              <w:pStyle w:val="13"/>
              <w:spacing w:afterLines="0" w:line="276" w:lineRule="auto"/>
              <w:rPr>
                <w:rFonts w:ascii="仿宋_GB2312" w:eastAsia="仿宋_GB2312" w:hAnsi="Times New Roman"/>
                <w:b/>
                <w:sz w:val="21"/>
                <w:szCs w:val="21"/>
              </w:rPr>
            </w:pPr>
            <w:r w:rsidRPr="009A1767">
              <w:rPr>
                <w:rFonts w:ascii="仿宋_GB2312" w:eastAsia="仿宋_GB2312" w:hAnsi="Times New Roman" w:hint="eastAsia"/>
                <w:b/>
                <w:sz w:val="21"/>
                <w:szCs w:val="21"/>
              </w:rPr>
              <w:t>—</w:t>
            </w:r>
          </w:p>
        </w:tc>
        <w:tc>
          <w:tcPr>
            <w:tcW w:w="643" w:type="pct"/>
            <w:vMerge/>
            <w:tcBorders>
              <w:left w:val="single" w:sz="4" w:space="0" w:color="000000"/>
              <w:right w:val="single" w:sz="4" w:space="0" w:color="000000"/>
            </w:tcBorders>
            <w:vAlign w:val="center"/>
          </w:tcPr>
          <w:p w14:paraId="1F1925DF" w14:textId="77777777" w:rsidR="0017437C" w:rsidRPr="009A1767" w:rsidRDefault="0017437C">
            <w:pPr>
              <w:pStyle w:val="13"/>
              <w:spacing w:after="217" w:line="276" w:lineRule="auto"/>
              <w:rPr>
                <w:rFonts w:ascii="仿宋_GB2312" w:eastAsia="仿宋_GB2312" w:hAnsi="Times New Roman"/>
                <w:sz w:val="21"/>
                <w:szCs w:val="21"/>
              </w:rPr>
            </w:pPr>
          </w:p>
        </w:tc>
        <w:tc>
          <w:tcPr>
            <w:tcW w:w="550" w:type="pct"/>
            <w:tcBorders>
              <w:top w:val="single" w:sz="4" w:space="0" w:color="auto"/>
              <w:left w:val="single" w:sz="4" w:space="0" w:color="000000"/>
              <w:bottom w:val="single" w:sz="4" w:space="0" w:color="auto"/>
              <w:right w:val="single" w:sz="4" w:space="0" w:color="000000"/>
            </w:tcBorders>
            <w:vAlign w:val="center"/>
          </w:tcPr>
          <w:p w14:paraId="22CEA538"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021C0E65" w14:textId="77777777">
        <w:trPr>
          <w:trHeight w:val="340"/>
          <w:jc w:val="center"/>
        </w:trPr>
        <w:tc>
          <w:tcPr>
            <w:tcW w:w="396" w:type="pct"/>
            <w:vMerge/>
            <w:tcBorders>
              <w:left w:val="single" w:sz="4" w:space="0" w:color="000000"/>
              <w:right w:val="single" w:sz="4" w:space="0" w:color="000000"/>
            </w:tcBorders>
            <w:vAlign w:val="center"/>
          </w:tcPr>
          <w:p w14:paraId="14F97350"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40C98BE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13</w:t>
            </w:r>
          </w:p>
        </w:tc>
        <w:tc>
          <w:tcPr>
            <w:tcW w:w="2495" w:type="pct"/>
            <w:tcBorders>
              <w:top w:val="single" w:sz="4" w:space="0" w:color="auto"/>
              <w:left w:val="single" w:sz="4" w:space="0" w:color="000000"/>
              <w:bottom w:val="single" w:sz="4" w:space="0" w:color="auto"/>
              <w:right w:val="single" w:sz="4" w:space="0" w:color="000000"/>
            </w:tcBorders>
            <w:vAlign w:val="center"/>
          </w:tcPr>
          <w:p w14:paraId="0F0997A2"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挥发性有机物重点工程减排量（t）</w:t>
            </w:r>
          </w:p>
        </w:tc>
        <w:tc>
          <w:tcPr>
            <w:tcW w:w="583" w:type="pct"/>
            <w:tcBorders>
              <w:top w:val="single" w:sz="4" w:space="0" w:color="auto"/>
              <w:left w:val="single" w:sz="4" w:space="0" w:color="000000"/>
              <w:bottom w:val="single" w:sz="4" w:space="0" w:color="auto"/>
              <w:right w:val="single" w:sz="4" w:space="0" w:color="000000"/>
            </w:tcBorders>
            <w:vAlign w:val="center"/>
          </w:tcPr>
          <w:p w14:paraId="7E0ACC7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w:t>
            </w:r>
          </w:p>
        </w:tc>
        <w:tc>
          <w:tcPr>
            <w:tcW w:w="643" w:type="pct"/>
            <w:vMerge/>
            <w:tcBorders>
              <w:left w:val="single" w:sz="4" w:space="0" w:color="000000"/>
              <w:right w:val="single" w:sz="4" w:space="0" w:color="000000"/>
            </w:tcBorders>
            <w:vAlign w:val="center"/>
          </w:tcPr>
          <w:p w14:paraId="7F539872" w14:textId="77777777" w:rsidR="0017437C" w:rsidRPr="009A1767" w:rsidRDefault="0017437C">
            <w:pPr>
              <w:pStyle w:val="13"/>
              <w:spacing w:after="217" w:line="276" w:lineRule="auto"/>
              <w:rPr>
                <w:rFonts w:ascii="仿宋_GB2312" w:eastAsia="仿宋_GB2312" w:hAnsi="Times New Roman"/>
                <w:sz w:val="21"/>
                <w:szCs w:val="21"/>
              </w:rPr>
            </w:pPr>
          </w:p>
        </w:tc>
        <w:tc>
          <w:tcPr>
            <w:tcW w:w="550" w:type="pct"/>
            <w:tcBorders>
              <w:top w:val="single" w:sz="4" w:space="0" w:color="auto"/>
              <w:left w:val="single" w:sz="4" w:space="0" w:color="000000"/>
              <w:bottom w:val="single" w:sz="4" w:space="0" w:color="auto"/>
              <w:right w:val="single" w:sz="4" w:space="0" w:color="000000"/>
            </w:tcBorders>
            <w:vAlign w:val="center"/>
          </w:tcPr>
          <w:p w14:paraId="450C40B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67A9B9C5" w14:textId="77777777">
        <w:trPr>
          <w:trHeight w:val="340"/>
          <w:jc w:val="center"/>
        </w:trPr>
        <w:tc>
          <w:tcPr>
            <w:tcW w:w="396" w:type="pct"/>
            <w:vMerge/>
            <w:tcBorders>
              <w:left w:val="single" w:sz="4" w:space="0" w:color="000000"/>
              <w:right w:val="single" w:sz="4" w:space="0" w:color="000000"/>
            </w:tcBorders>
            <w:vAlign w:val="center"/>
          </w:tcPr>
          <w:p w14:paraId="0960DE9C"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6448B6B4"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14</w:t>
            </w:r>
          </w:p>
        </w:tc>
        <w:tc>
          <w:tcPr>
            <w:tcW w:w="2495" w:type="pct"/>
            <w:tcBorders>
              <w:top w:val="single" w:sz="4" w:space="0" w:color="auto"/>
              <w:left w:val="single" w:sz="4" w:space="0" w:color="000000"/>
              <w:bottom w:val="single" w:sz="4" w:space="0" w:color="auto"/>
              <w:right w:val="single" w:sz="4" w:space="0" w:color="000000"/>
            </w:tcBorders>
            <w:vAlign w:val="center"/>
          </w:tcPr>
          <w:p w14:paraId="5495F26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二氧化硫重点工程减排量（t）</w:t>
            </w:r>
          </w:p>
        </w:tc>
        <w:tc>
          <w:tcPr>
            <w:tcW w:w="583" w:type="pct"/>
            <w:tcBorders>
              <w:top w:val="single" w:sz="4" w:space="0" w:color="auto"/>
              <w:left w:val="single" w:sz="4" w:space="0" w:color="000000"/>
              <w:bottom w:val="single" w:sz="4" w:space="0" w:color="auto"/>
              <w:right w:val="single" w:sz="4" w:space="0" w:color="000000"/>
            </w:tcBorders>
            <w:vAlign w:val="center"/>
          </w:tcPr>
          <w:p w14:paraId="1781D807"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w:t>
            </w:r>
          </w:p>
        </w:tc>
        <w:tc>
          <w:tcPr>
            <w:tcW w:w="643" w:type="pct"/>
            <w:vMerge/>
            <w:tcBorders>
              <w:left w:val="single" w:sz="4" w:space="0" w:color="000000"/>
              <w:right w:val="single" w:sz="4" w:space="0" w:color="000000"/>
            </w:tcBorders>
            <w:vAlign w:val="center"/>
          </w:tcPr>
          <w:p w14:paraId="6B494042" w14:textId="77777777" w:rsidR="0017437C" w:rsidRPr="009A1767" w:rsidRDefault="0017437C">
            <w:pPr>
              <w:pStyle w:val="13"/>
              <w:spacing w:afterLines="0" w:line="240" w:lineRule="auto"/>
              <w:rPr>
                <w:rFonts w:ascii="仿宋_GB2312" w:eastAsia="仿宋_GB2312" w:hAnsi="Times New Roman"/>
                <w:sz w:val="21"/>
                <w:szCs w:val="21"/>
              </w:rPr>
            </w:pPr>
          </w:p>
        </w:tc>
        <w:tc>
          <w:tcPr>
            <w:tcW w:w="550" w:type="pct"/>
            <w:tcBorders>
              <w:top w:val="single" w:sz="4" w:space="0" w:color="auto"/>
              <w:left w:val="single" w:sz="4" w:space="0" w:color="000000"/>
              <w:bottom w:val="single" w:sz="4" w:space="0" w:color="auto"/>
              <w:right w:val="single" w:sz="4" w:space="0" w:color="000000"/>
            </w:tcBorders>
            <w:vAlign w:val="center"/>
          </w:tcPr>
          <w:p w14:paraId="74331B42"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预期性</w:t>
            </w:r>
          </w:p>
        </w:tc>
      </w:tr>
      <w:tr w:rsidR="0017437C" w:rsidRPr="009A1767" w14:paraId="6BF63B93" w14:textId="77777777">
        <w:trPr>
          <w:trHeight w:val="340"/>
          <w:jc w:val="center"/>
        </w:trPr>
        <w:tc>
          <w:tcPr>
            <w:tcW w:w="396" w:type="pct"/>
            <w:vMerge w:val="restart"/>
            <w:tcBorders>
              <w:left w:val="single" w:sz="4" w:space="0" w:color="000000"/>
              <w:right w:val="single" w:sz="4" w:space="0" w:color="000000"/>
            </w:tcBorders>
            <w:vAlign w:val="center"/>
          </w:tcPr>
          <w:p w14:paraId="7548B21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sz w:val="21"/>
                <w:szCs w:val="21"/>
              </w:rPr>
              <w:t>应对气候变化</w:t>
            </w:r>
          </w:p>
        </w:tc>
        <w:tc>
          <w:tcPr>
            <w:tcW w:w="333" w:type="pct"/>
            <w:tcBorders>
              <w:top w:val="single" w:sz="4" w:space="0" w:color="auto"/>
              <w:left w:val="single" w:sz="4" w:space="0" w:color="000000"/>
              <w:bottom w:val="single" w:sz="4" w:space="0" w:color="auto"/>
              <w:right w:val="single" w:sz="4" w:space="0" w:color="000000"/>
            </w:tcBorders>
            <w:vAlign w:val="center"/>
          </w:tcPr>
          <w:p w14:paraId="00E4783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15</w:t>
            </w:r>
          </w:p>
        </w:tc>
        <w:tc>
          <w:tcPr>
            <w:tcW w:w="2495" w:type="pct"/>
            <w:tcBorders>
              <w:top w:val="single" w:sz="4" w:space="0" w:color="auto"/>
              <w:left w:val="single" w:sz="4" w:space="0" w:color="000000"/>
              <w:bottom w:val="single" w:sz="4" w:space="0" w:color="auto"/>
              <w:right w:val="single" w:sz="4" w:space="0" w:color="000000"/>
            </w:tcBorders>
            <w:vAlign w:val="center"/>
          </w:tcPr>
          <w:p w14:paraId="57E5A762"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单位地区生产总值二氧化碳排放降低比例（%）</w:t>
            </w:r>
          </w:p>
        </w:tc>
        <w:tc>
          <w:tcPr>
            <w:tcW w:w="583" w:type="pct"/>
            <w:tcBorders>
              <w:top w:val="single" w:sz="4" w:space="0" w:color="auto"/>
              <w:left w:val="single" w:sz="4" w:space="0" w:color="000000"/>
              <w:bottom w:val="single" w:sz="4" w:space="0" w:color="auto"/>
              <w:right w:val="single" w:sz="4" w:space="0" w:color="000000"/>
            </w:tcBorders>
            <w:vAlign w:val="center"/>
          </w:tcPr>
          <w:p w14:paraId="205331A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w:t>
            </w:r>
          </w:p>
        </w:tc>
        <w:tc>
          <w:tcPr>
            <w:tcW w:w="643" w:type="pct"/>
            <w:tcBorders>
              <w:top w:val="single" w:sz="4" w:space="0" w:color="auto"/>
              <w:left w:val="single" w:sz="4" w:space="0" w:color="000000"/>
              <w:right w:val="single" w:sz="4" w:space="0" w:color="000000"/>
            </w:tcBorders>
            <w:vAlign w:val="center"/>
          </w:tcPr>
          <w:p w14:paraId="32A554F9" w14:textId="77777777" w:rsidR="0017437C" w:rsidRPr="009A1767" w:rsidRDefault="0053037A">
            <w:pPr>
              <w:pStyle w:val="13"/>
              <w:spacing w:afterLines="0" w:line="240" w:lineRule="auto"/>
              <w:rPr>
                <w:rFonts w:ascii="仿宋_GB2312" w:eastAsia="仿宋_GB2312" w:hAnsi="Times New Roman"/>
                <w:sz w:val="21"/>
                <w:szCs w:val="21"/>
              </w:rPr>
            </w:pPr>
            <w:r w:rsidRPr="009A1767">
              <w:rPr>
                <w:rFonts w:ascii="仿宋_GB2312" w:eastAsia="仿宋_GB2312" w:hAnsi="Times New Roman" w:hint="eastAsia"/>
                <w:sz w:val="21"/>
                <w:szCs w:val="21"/>
              </w:rPr>
              <w:t>完成省下达目标</w:t>
            </w:r>
          </w:p>
        </w:tc>
        <w:tc>
          <w:tcPr>
            <w:tcW w:w="550" w:type="pct"/>
            <w:tcBorders>
              <w:top w:val="single" w:sz="4" w:space="0" w:color="auto"/>
              <w:left w:val="single" w:sz="4" w:space="0" w:color="000000"/>
              <w:bottom w:val="single" w:sz="4" w:space="0" w:color="auto"/>
              <w:right w:val="single" w:sz="4" w:space="0" w:color="000000"/>
            </w:tcBorders>
            <w:vAlign w:val="center"/>
          </w:tcPr>
          <w:p w14:paraId="0BB9A4D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0FFAAA9B" w14:textId="77777777">
        <w:trPr>
          <w:trHeight w:val="340"/>
          <w:jc w:val="center"/>
        </w:trPr>
        <w:tc>
          <w:tcPr>
            <w:tcW w:w="396" w:type="pct"/>
            <w:vMerge/>
            <w:tcBorders>
              <w:left w:val="single" w:sz="4" w:space="0" w:color="000000"/>
              <w:right w:val="single" w:sz="4" w:space="0" w:color="000000"/>
            </w:tcBorders>
            <w:vAlign w:val="center"/>
          </w:tcPr>
          <w:p w14:paraId="60586452"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3A0D899D"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16</w:t>
            </w:r>
          </w:p>
        </w:tc>
        <w:tc>
          <w:tcPr>
            <w:tcW w:w="2495" w:type="pct"/>
            <w:tcBorders>
              <w:top w:val="single" w:sz="4" w:space="0" w:color="auto"/>
              <w:left w:val="single" w:sz="4" w:space="0" w:color="000000"/>
              <w:bottom w:val="single" w:sz="4" w:space="0" w:color="auto"/>
              <w:right w:val="single" w:sz="4" w:space="0" w:color="000000"/>
            </w:tcBorders>
            <w:vAlign w:val="center"/>
          </w:tcPr>
          <w:p w14:paraId="34650E1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单位地区生产总值能源消耗降低比例(%)</w:t>
            </w:r>
          </w:p>
        </w:tc>
        <w:tc>
          <w:tcPr>
            <w:tcW w:w="583" w:type="pct"/>
            <w:tcBorders>
              <w:top w:val="single" w:sz="4" w:space="0" w:color="auto"/>
              <w:left w:val="single" w:sz="4" w:space="0" w:color="000000"/>
              <w:bottom w:val="single" w:sz="4" w:space="0" w:color="auto"/>
              <w:right w:val="single" w:sz="4" w:space="0" w:color="000000"/>
            </w:tcBorders>
            <w:vAlign w:val="center"/>
          </w:tcPr>
          <w:p w14:paraId="23DB9D0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12.8</w:t>
            </w:r>
          </w:p>
        </w:tc>
        <w:tc>
          <w:tcPr>
            <w:tcW w:w="643" w:type="pct"/>
            <w:tcBorders>
              <w:left w:val="single" w:sz="4" w:space="0" w:color="000000"/>
              <w:right w:val="single" w:sz="4" w:space="0" w:color="000000"/>
            </w:tcBorders>
            <w:vAlign w:val="center"/>
          </w:tcPr>
          <w:p w14:paraId="3B248A69"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18</w:t>
            </w:r>
          </w:p>
        </w:tc>
        <w:tc>
          <w:tcPr>
            <w:tcW w:w="550" w:type="pct"/>
            <w:tcBorders>
              <w:top w:val="single" w:sz="4" w:space="0" w:color="auto"/>
              <w:left w:val="single" w:sz="4" w:space="0" w:color="000000"/>
              <w:bottom w:val="single" w:sz="4" w:space="0" w:color="auto"/>
              <w:right w:val="single" w:sz="4" w:space="0" w:color="000000"/>
            </w:tcBorders>
            <w:vAlign w:val="center"/>
          </w:tcPr>
          <w:p w14:paraId="03DEA8B4"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58EDFB27" w14:textId="77777777">
        <w:trPr>
          <w:trHeight w:val="340"/>
          <w:jc w:val="center"/>
        </w:trPr>
        <w:tc>
          <w:tcPr>
            <w:tcW w:w="396" w:type="pct"/>
            <w:vMerge/>
            <w:tcBorders>
              <w:left w:val="single" w:sz="4" w:space="0" w:color="000000"/>
              <w:right w:val="single" w:sz="4" w:space="0" w:color="000000"/>
            </w:tcBorders>
            <w:vAlign w:val="center"/>
          </w:tcPr>
          <w:p w14:paraId="1E6FAC0A"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3D27CA28"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17</w:t>
            </w:r>
          </w:p>
        </w:tc>
        <w:tc>
          <w:tcPr>
            <w:tcW w:w="2495" w:type="pct"/>
            <w:tcBorders>
              <w:top w:val="single" w:sz="4" w:space="0" w:color="auto"/>
              <w:left w:val="single" w:sz="4" w:space="0" w:color="000000"/>
              <w:bottom w:val="single" w:sz="4" w:space="0" w:color="auto"/>
              <w:right w:val="single" w:sz="4" w:space="0" w:color="000000"/>
            </w:tcBorders>
            <w:vAlign w:val="center"/>
          </w:tcPr>
          <w:p w14:paraId="3A834828"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非化石能源占能源消费总量比例（%）</w:t>
            </w:r>
          </w:p>
        </w:tc>
        <w:tc>
          <w:tcPr>
            <w:tcW w:w="583" w:type="pct"/>
            <w:tcBorders>
              <w:top w:val="single" w:sz="4" w:space="0" w:color="auto"/>
              <w:left w:val="single" w:sz="4" w:space="0" w:color="000000"/>
              <w:bottom w:val="single" w:sz="4" w:space="0" w:color="auto"/>
              <w:right w:val="single" w:sz="4" w:space="0" w:color="000000"/>
            </w:tcBorders>
            <w:vAlign w:val="center"/>
          </w:tcPr>
          <w:p w14:paraId="5974086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w:t>
            </w:r>
          </w:p>
        </w:tc>
        <w:tc>
          <w:tcPr>
            <w:tcW w:w="643" w:type="pct"/>
            <w:tcBorders>
              <w:left w:val="single" w:sz="4" w:space="0" w:color="000000"/>
              <w:bottom w:val="single" w:sz="4" w:space="0" w:color="auto"/>
              <w:right w:val="single" w:sz="4" w:space="0" w:color="000000"/>
            </w:tcBorders>
            <w:vAlign w:val="center"/>
          </w:tcPr>
          <w:p w14:paraId="5372A058"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完成省下达目标</w:t>
            </w:r>
          </w:p>
        </w:tc>
        <w:tc>
          <w:tcPr>
            <w:tcW w:w="550" w:type="pct"/>
            <w:tcBorders>
              <w:top w:val="single" w:sz="4" w:space="0" w:color="auto"/>
              <w:left w:val="single" w:sz="4" w:space="0" w:color="000000"/>
              <w:bottom w:val="single" w:sz="4" w:space="0" w:color="auto"/>
              <w:right w:val="single" w:sz="4" w:space="0" w:color="000000"/>
            </w:tcBorders>
            <w:vAlign w:val="center"/>
          </w:tcPr>
          <w:p w14:paraId="6F7E3CC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预期性</w:t>
            </w:r>
          </w:p>
        </w:tc>
      </w:tr>
      <w:tr w:rsidR="0017437C" w:rsidRPr="009A1767" w14:paraId="5D53FD9E" w14:textId="77777777">
        <w:trPr>
          <w:trHeight w:val="340"/>
          <w:jc w:val="center"/>
        </w:trPr>
        <w:tc>
          <w:tcPr>
            <w:tcW w:w="396" w:type="pct"/>
            <w:vMerge w:val="restart"/>
            <w:tcBorders>
              <w:left w:val="single" w:sz="4" w:space="0" w:color="000000"/>
              <w:right w:val="single" w:sz="4" w:space="0" w:color="000000"/>
            </w:tcBorders>
            <w:vAlign w:val="center"/>
          </w:tcPr>
          <w:p w14:paraId="3CC8D9D0"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环境风险防控</w:t>
            </w:r>
          </w:p>
        </w:tc>
        <w:tc>
          <w:tcPr>
            <w:tcW w:w="333" w:type="pct"/>
            <w:tcBorders>
              <w:top w:val="single" w:sz="4" w:space="0" w:color="auto"/>
              <w:left w:val="single" w:sz="4" w:space="0" w:color="000000"/>
              <w:bottom w:val="single" w:sz="4" w:space="0" w:color="auto"/>
              <w:right w:val="single" w:sz="4" w:space="0" w:color="000000"/>
            </w:tcBorders>
            <w:vAlign w:val="center"/>
          </w:tcPr>
          <w:p w14:paraId="0058E7D1"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18</w:t>
            </w:r>
          </w:p>
        </w:tc>
        <w:tc>
          <w:tcPr>
            <w:tcW w:w="2495" w:type="pct"/>
            <w:tcBorders>
              <w:top w:val="single" w:sz="4" w:space="0" w:color="auto"/>
              <w:left w:val="single" w:sz="4" w:space="0" w:color="000000"/>
              <w:bottom w:val="single" w:sz="4" w:space="0" w:color="auto"/>
              <w:right w:val="single" w:sz="4" w:space="0" w:color="000000"/>
            </w:tcBorders>
            <w:vAlign w:val="center"/>
          </w:tcPr>
          <w:p w14:paraId="6DC1FBF0"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受污染耕地安全利用率（%）</w:t>
            </w:r>
          </w:p>
        </w:tc>
        <w:tc>
          <w:tcPr>
            <w:tcW w:w="583" w:type="pct"/>
            <w:tcBorders>
              <w:top w:val="single" w:sz="4" w:space="0" w:color="auto"/>
              <w:left w:val="single" w:sz="4" w:space="0" w:color="000000"/>
              <w:bottom w:val="single" w:sz="4" w:space="0" w:color="auto"/>
              <w:right w:val="single" w:sz="4" w:space="0" w:color="000000"/>
            </w:tcBorders>
            <w:vAlign w:val="center"/>
          </w:tcPr>
          <w:p w14:paraId="45EB1D2D"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100</w:t>
            </w:r>
          </w:p>
        </w:tc>
        <w:tc>
          <w:tcPr>
            <w:tcW w:w="643" w:type="pct"/>
            <w:tcBorders>
              <w:top w:val="single" w:sz="4" w:space="0" w:color="auto"/>
              <w:left w:val="single" w:sz="4" w:space="0" w:color="000000"/>
              <w:bottom w:val="single" w:sz="4" w:space="0" w:color="auto"/>
              <w:right w:val="single" w:sz="4" w:space="0" w:color="000000"/>
            </w:tcBorders>
            <w:vAlign w:val="center"/>
          </w:tcPr>
          <w:p w14:paraId="67CB1A4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100</w:t>
            </w:r>
          </w:p>
        </w:tc>
        <w:tc>
          <w:tcPr>
            <w:tcW w:w="550" w:type="pct"/>
            <w:tcBorders>
              <w:top w:val="single" w:sz="4" w:space="0" w:color="auto"/>
              <w:left w:val="single" w:sz="4" w:space="0" w:color="000000"/>
              <w:bottom w:val="single" w:sz="4" w:space="0" w:color="auto"/>
              <w:right w:val="single" w:sz="4" w:space="0" w:color="000000"/>
            </w:tcBorders>
            <w:vAlign w:val="center"/>
          </w:tcPr>
          <w:p w14:paraId="75BC8C01"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14759DBC" w14:textId="77777777">
        <w:trPr>
          <w:trHeight w:val="340"/>
          <w:jc w:val="center"/>
        </w:trPr>
        <w:tc>
          <w:tcPr>
            <w:tcW w:w="396" w:type="pct"/>
            <w:vMerge/>
            <w:tcBorders>
              <w:left w:val="single" w:sz="4" w:space="0" w:color="000000"/>
              <w:right w:val="single" w:sz="4" w:space="0" w:color="000000"/>
            </w:tcBorders>
            <w:vAlign w:val="center"/>
          </w:tcPr>
          <w:p w14:paraId="7A358EF4"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73BA30CE"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19</w:t>
            </w:r>
          </w:p>
        </w:tc>
        <w:tc>
          <w:tcPr>
            <w:tcW w:w="2495" w:type="pct"/>
            <w:tcBorders>
              <w:top w:val="single" w:sz="4" w:space="0" w:color="auto"/>
              <w:left w:val="single" w:sz="4" w:space="0" w:color="000000"/>
              <w:bottom w:val="single" w:sz="4" w:space="0" w:color="auto"/>
              <w:right w:val="single" w:sz="4" w:space="0" w:color="000000"/>
            </w:tcBorders>
            <w:vAlign w:val="center"/>
          </w:tcPr>
          <w:p w14:paraId="48EF4CF1"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重点建设用地安全利用</w:t>
            </w:r>
          </w:p>
        </w:tc>
        <w:tc>
          <w:tcPr>
            <w:tcW w:w="583" w:type="pct"/>
            <w:tcBorders>
              <w:top w:val="single" w:sz="4" w:space="0" w:color="auto"/>
              <w:left w:val="single" w:sz="4" w:space="0" w:color="000000"/>
              <w:bottom w:val="single" w:sz="4" w:space="0" w:color="auto"/>
              <w:right w:val="single" w:sz="4" w:space="0" w:color="000000"/>
            </w:tcBorders>
            <w:vAlign w:val="center"/>
          </w:tcPr>
          <w:p w14:paraId="1F678801"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w:t>
            </w:r>
          </w:p>
        </w:tc>
        <w:tc>
          <w:tcPr>
            <w:tcW w:w="643" w:type="pct"/>
            <w:tcBorders>
              <w:top w:val="single" w:sz="4" w:space="0" w:color="auto"/>
              <w:left w:val="single" w:sz="4" w:space="0" w:color="000000"/>
              <w:bottom w:val="single" w:sz="4" w:space="0" w:color="auto"/>
              <w:right w:val="single" w:sz="4" w:space="0" w:color="000000"/>
            </w:tcBorders>
            <w:vAlign w:val="center"/>
          </w:tcPr>
          <w:p w14:paraId="61D948A8"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有效保障</w:t>
            </w:r>
          </w:p>
        </w:tc>
        <w:tc>
          <w:tcPr>
            <w:tcW w:w="550" w:type="pct"/>
            <w:tcBorders>
              <w:top w:val="single" w:sz="4" w:space="0" w:color="auto"/>
              <w:left w:val="single" w:sz="4" w:space="0" w:color="000000"/>
              <w:bottom w:val="single" w:sz="4" w:space="0" w:color="auto"/>
              <w:right w:val="single" w:sz="4" w:space="0" w:color="000000"/>
            </w:tcBorders>
            <w:vAlign w:val="center"/>
          </w:tcPr>
          <w:p w14:paraId="67C53B02"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00F38A65" w14:textId="77777777">
        <w:trPr>
          <w:trHeight w:val="340"/>
          <w:jc w:val="center"/>
        </w:trPr>
        <w:tc>
          <w:tcPr>
            <w:tcW w:w="396" w:type="pct"/>
            <w:vMerge/>
            <w:tcBorders>
              <w:left w:val="single" w:sz="4" w:space="0" w:color="000000"/>
              <w:right w:val="single" w:sz="4" w:space="0" w:color="000000"/>
            </w:tcBorders>
            <w:vAlign w:val="center"/>
          </w:tcPr>
          <w:p w14:paraId="7F30FF3F"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15BD1EC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20</w:t>
            </w:r>
          </w:p>
        </w:tc>
        <w:tc>
          <w:tcPr>
            <w:tcW w:w="2495" w:type="pct"/>
            <w:tcBorders>
              <w:top w:val="single" w:sz="4" w:space="0" w:color="auto"/>
              <w:left w:val="single" w:sz="4" w:space="0" w:color="000000"/>
              <w:bottom w:val="single" w:sz="4" w:space="0" w:color="auto"/>
              <w:right w:val="single" w:sz="4" w:space="0" w:color="000000"/>
            </w:tcBorders>
            <w:vAlign w:val="center"/>
          </w:tcPr>
          <w:p w14:paraId="135395B0"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放射源辐射事故年发生率</w:t>
            </w:r>
          </w:p>
          <w:p w14:paraId="08A2340B"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（起/每万枚）</w:t>
            </w:r>
          </w:p>
        </w:tc>
        <w:tc>
          <w:tcPr>
            <w:tcW w:w="583" w:type="pct"/>
            <w:tcBorders>
              <w:top w:val="single" w:sz="4" w:space="0" w:color="auto"/>
              <w:left w:val="single" w:sz="4" w:space="0" w:color="000000"/>
              <w:bottom w:val="single" w:sz="4" w:space="0" w:color="auto"/>
              <w:right w:val="single" w:sz="4" w:space="0" w:color="000000"/>
            </w:tcBorders>
            <w:vAlign w:val="center"/>
          </w:tcPr>
          <w:p w14:paraId="51B338D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w:t>
            </w:r>
          </w:p>
        </w:tc>
        <w:tc>
          <w:tcPr>
            <w:tcW w:w="643" w:type="pct"/>
            <w:tcBorders>
              <w:top w:val="single" w:sz="4" w:space="0" w:color="auto"/>
              <w:left w:val="single" w:sz="4" w:space="0" w:color="000000"/>
              <w:bottom w:val="single" w:sz="4" w:space="0" w:color="auto"/>
              <w:right w:val="single" w:sz="4" w:space="0" w:color="000000"/>
            </w:tcBorders>
            <w:vAlign w:val="center"/>
          </w:tcPr>
          <w:p w14:paraId="6397E4A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sz w:val="21"/>
                <w:szCs w:val="21"/>
              </w:rPr>
              <w:t>＜</w:t>
            </w:r>
            <w:r w:rsidRPr="009A1767">
              <w:rPr>
                <w:rFonts w:ascii="仿宋_GB2312" w:eastAsia="仿宋_GB2312" w:hAnsi="Times New Roman" w:hint="eastAsia"/>
                <w:sz w:val="21"/>
                <w:szCs w:val="21"/>
              </w:rPr>
              <w:t>1.3</w:t>
            </w:r>
          </w:p>
        </w:tc>
        <w:tc>
          <w:tcPr>
            <w:tcW w:w="550" w:type="pct"/>
            <w:tcBorders>
              <w:top w:val="single" w:sz="4" w:space="0" w:color="auto"/>
              <w:left w:val="single" w:sz="4" w:space="0" w:color="000000"/>
              <w:bottom w:val="single" w:sz="4" w:space="0" w:color="auto"/>
              <w:right w:val="single" w:sz="4" w:space="0" w:color="000000"/>
            </w:tcBorders>
            <w:vAlign w:val="center"/>
          </w:tcPr>
          <w:p w14:paraId="552B80A8"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预期性</w:t>
            </w:r>
          </w:p>
        </w:tc>
      </w:tr>
      <w:tr w:rsidR="0017437C" w:rsidRPr="009A1767" w14:paraId="4537BC48" w14:textId="77777777">
        <w:trPr>
          <w:trHeight w:val="340"/>
          <w:jc w:val="center"/>
        </w:trPr>
        <w:tc>
          <w:tcPr>
            <w:tcW w:w="396" w:type="pct"/>
            <w:vMerge w:val="restart"/>
            <w:tcBorders>
              <w:top w:val="single" w:sz="4" w:space="0" w:color="000000"/>
              <w:left w:val="single" w:sz="4" w:space="0" w:color="000000"/>
              <w:right w:val="single" w:sz="4" w:space="0" w:color="000000"/>
            </w:tcBorders>
            <w:vAlign w:val="center"/>
          </w:tcPr>
          <w:p w14:paraId="1A11049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生态保护</w:t>
            </w:r>
          </w:p>
        </w:tc>
        <w:tc>
          <w:tcPr>
            <w:tcW w:w="333" w:type="pct"/>
            <w:tcBorders>
              <w:top w:val="single" w:sz="4" w:space="0" w:color="auto"/>
              <w:left w:val="single" w:sz="4" w:space="0" w:color="000000"/>
              <w:bottom w:val="single" w:sz="4" w:space="0" w:color="auto"/>
              <w:right w:val="single" w:sz="4" w:space="0" w:color="000000"/>
            </w:tcBorders>
            <w:vAlign w:val="center"/>
          </w:tcPr>
          <w:p w14:paraId="19EA85D4"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21</w:t>
            </w:r>
          </w:p>
        </w:tc>
        <w:tc>
          <w:tcPr>
            <w:tcW w:w="2495" w:type="pct"/>
            <w:tcBorders>
              <w:top w:val="single" w:sz="4" w:space="0" w:color="auto"/>
              <w:left w:val="single" w:sz="4" w:space="0" w:color="000000"/>
              <w:bottom w:val="single" w:sz="4" w:space="0" w:color="auto"/>
              <w:right w:val="single" w:sz="4" w:space="0" w:color="000000"/>
            </w:tcBorders>
            <w:vAlign w:val="center"/>
          </w:tcPr>
          <w:p w14:paraId="551CDAF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生态质量指数（EQI）</w:t>
            </w:r>
          </w:p>
        </w:tc>
        <w:tc>
          <w:tcPr>
            <w:tcW w:w="583" w:type="pct"/>
            <w:tcBorders>
              <w:top w:val="single" w:sz="4" w:space="0" w:color="auto"/>
              <w:left w:val="single" w:sz="4" w:space="0" w:color="000000"/>
              <w:bottom w:val="single" w:sz="4" w:space="0" w:color="auto"/>
              <w:right w:val="single" w:sz="4" w:space="0" w:color="000000"/>
            </w:tcBorders>
            <w:vAlign w:val="center"/>
          </w:tcPr>
          <w:p w14:paraId="4F09EA3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w:t>
            </w:r>
          </w:p>
        </w:tc>
        <w:tc>
          <w:tcPr>
            <w:tcW w:w="643" w:type="pct"/>
            <w:tcBorders>
              <w:top w:val="single" w:sz="4" w:space="0" w:color="auto"/>
              <w:left w:val="single" w:sz="4" w:space="0" w:color="000000"/>
              <w:bottom w:val="single" w:sz="4" w:space="0" w:color="auto"/>
              <w:right w:val="single" w:sz="4" w:space="0" w:color="000000"/>
            </w:tcBorders>
            <w:vAlign w:val="center"/>
          </w:tcPr>
          <w:p w14:paraId="4A6C5C3C"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完成省下达目标</w:t>
            </w:r>
          </w:p>
        </w:tc>
        <w:tc>
          <w:tcPr>
            <w:tcW w:w="550" w:type="pct"/>
            <w:tcBorders>
              <w:top w:val="single" w:sz="4" w:space="0" w:color="auto"/>
              <w:left w:val="single" w:sz="4" w:space="0" w:color="000000"/>
              <w:bottom w:val="single" w:sz="4" w:space="0" w:color="auto"/>
              <w:right w:val="single" w:sz="4" w:space="0" w:color="000000"/>
            </w:tcBorders>
            <w:vAlign w:val="center"/>
          </w:tcPr>
          <w:p w14:paraId="3A1B5279"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预期性</w:t>
            </w:r>
          </w:p>
        </w:tc>
      </w:tr>
      <w:tr w:rsidR="0017437C" w:rsidRPr="009A1767" w14:paraId="12C691E9" w14:textId="77777777">
        <w:trPr>
          <w:trHeight w:val="340"/>
          <w:jc w:val="center"/>
        </w:trPr>
        <w:tc>
          <w:tcPr>
            <w:tcW w:w="396" w:type="pct"/>
            <w:vMerge/>
            <w:tcBorders>
              <w:top w:val="single" w:sz="4" w:space="0" w:color="000000"/>
              <w:left w:val="single" w:sz="4" w:space="0" w:color="000000"/>
              <w:right w:val="single" w:sz="4" w:space="0" w:color="000000"/>
            </w:tcBorders>
            <w:vAlign w:val="center"/>
          </w:tcPr>
          <w:p w14:paraId="063EE536"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35EBEDE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22</w:t>
            </w:r>
          </w:p>
        </w:tc>
        <w:tc>
          <w:tcPr>
            <w:tcW w:w="2495" w:type="pct"/>
            <w:tcBorders>
              <w:top w:val="single" w:sz="4" w:space="0" w:color="auto"/>
              <w:left w:val="single" w:sz="4" w:space="0" w:color="000000"/>
              <w:bottom w:val="single" w:sz="4" w:space="0" w:color="auto"/>
              <w:right w:val="single" w:sz="4" w:space="0" w:color="000000"/>
            </w:tcBorders>
            <w:vAlign w:val="center"/>
          </w:tcPr>
          <w:p w14:paraId="3713AED6"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森林覆盖率（%）</w:t>
            </w:r>
          </w:p>
        </w:tc>
        <w:tc>
          <w:tcPr>
            <w:tcW w:w="583" w:type="pct"/>
            <w:tcBorders>
              <w:top w:val="single" w:sz="4" w:space="0" w:color="auto"/>
              <w:left w:val="single" w:sz="4" w:space="0" w:color="000000"/>
              <w:bottom w:val="single" w:sz="4" w:space="0" w:color="auto"/>
              <w:right w:val="single" w:sz="4" w:space="0" w:color="000000"/>
            </w:tcBorders>
            <w:vAlign w:val="center"/>
          </w:tcPr>
          <w:p w14:paraId="0927066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18.6*</w:t>
            </w:r>
          </w:p>
        </w:tc>
        <w:tc>
          <w:tcPr>
            <w:tcW w:w="643" w:type="pct"/>
            <w:tcBorders>
              <w:top w:val="single" w:sz="4" w:space="0" w:color="auto"/>
              <w:left w:val="single" w:sz="4" w:space="0" w:color="000000"/>
              <w:bottom w:val="single" w:sz="4" w:space="0" w:color="auto"/>
              <w:right w:val="single" w:sz="4" w:space="0" w:color="000000"/>
            </w:tcBorders>
            <w:vAlign w:val="center"/>
          </w:tcPr>
          <w:p w14:paraId="392CB1BF"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20.59</w:t>
            </w:r>
          </w:p>
        </w:tc>
        <w:tc>
          <w:tcPr>
            <w:tcW w:w="550" w:type="pct"/>
            <w:tcBorders>
              <w:top w:val="single" w:sz="4" w:space="0" w:color="auto"/>
              <w:left w:val="single" w:sz="4" w:space="0" w:color="000000"/>
              <w:bottom w:val="single" w:sz="4" w:space="0" w:color="auto"/>
              <w:right w:val="single" w:sz="4" w:space="0" w:color="000000"/>
            </w:tcBorders>
            <w:vAlign w:val="center"/>
          </w:tcPr>
          <w:p w14:paraId="02ABC58E"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r w:rsidR="0017437C" w:rsidRPr="009A1767" w14:paraId="72DB86FF" w14:textId="77777777">
        <w:trPr>
          <w:trHeight w:val="340"/>
          <w:jc w:val="center"/>
        </w:trPr>
        <w:tc>
          <w:tcPr>
            <w:tcW w:w="396" w:type="pct"/>
            <w:vMerge/>
            <w:tcBorders>
              <w:left w:val="single" w:sz="4" w:space="0" w:color="000000"/>
              <w:bottom w:val="single" w:sz="4" w:space="0" w:color="auto"/>
              <w:right w:val="single" w:sz="4" w:space="0" w:color="000000"/>
            </w:tcBorders>
            <w:vAlign w:val="center"/>
          </w:tcPr>
          <w:p w14:paraId="66D84966" w14:textId="77777777" w:rsidR="0017437C" w:rsidRPr="009A1767" w:rsidRDefault="0017437C">
            <w:pPr>
              <w:pStyle w:val="13"/>
              <w:spacing w:afterLines="0" w:line="276" w:lineRule="auto"/>
              <w:rPr>
                <w:rFonts w:ascii="仿宋_GB2312" w:eastAsia="仿宋_GB2312" w:hAnsi="Times New Roman"/>
                <w:sz w:val="21"/>
                <w:szCs w:val="21"/>
              </w:rPr>
            </w:pPr>
          </w:p>
        </w:tc>
        <w:tc>
          <w:tcPr>
            <w:tcW w:w="333" w:type="pct"/>
            <w:tcBorders>
              <w:top w:val="single" w:sz="4" w:space="0" w:color="auto"/>
              <w:left w:val="single" w:sz="4" w:space="0" w:color="000000"/>
              <w:bottom w:val="single" w:sz="4" w:space="0" w:color="auto"/>
              <w:right w:val="single" w:sz="4" w:space="0" w:color="000000"/>
            </w:tcBorders>
            <w:vAlign w:val="center"/>
          </w:tcPr>
          <w:p w14:paraId="1284AFEA"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23</w:t>
            </w:r>
          </w:p>
        </w:tc>
        <w:tc>
          <w:tcPr>
            <w:tcW w:w="2495" w:type="pct"/>
            <w:tcBorders>
              <w:top w:val="single" w:sz="4" w:space="0" w:color="auto"/>
              <w:left w:val="single" w:sz="4" w:space="0" w:color="000000"/>
              <w:bottom w:val="single" w:sz="4" w:space="0" w:color="auto"/>
              <w:right w:val="single" w:sz="4" w:space="0" w:color="000000"/>
            </w:tcBorders>
            <w:vAlign w:val="center"/>
          </w:tcPr>
          <w:p w14:paraId="075D6007"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生态保护红线区面积占国土面积的比例（%）</w:t>
            </w:r>
          </w:p>
        </w:tc>
        <w:tc>
          <w:tcPr>
            <w:tcW w:w="583" w:type="pct"/>
            <w:tcBorders>
              <w:top w:val="single" w:sz="4" w:space="0" w:color="auto"/>
              <w:left w:val="single" w:sz="4" w:space="0" w:color="000000"/>
              <w:bottom w:val="single" w:sz="4" w:space="0" w:color="auto"/>
              <w:right w:val="single" w:sz="4" w:space="0" w:color="000000"/>
            </w:tcBorders>
            <w:vAlign w:val="center"/>
          </w:tcPr>
          <w:p w14:paraId="2439B2FA" w14:textId="77777777" w:rsidR="0017437C" w:rsidRPr="009A1767" w:rsidRDefault="0017437C">
            <w:pPr>
              <w:pStyle w:val="13"/>
              <w:spacing w:afterLines="0" w:line="276" w:lineRule="auto"/>
              <w:rPr>
                <w:rFonts w:ascii="仿宋_GB2312" w:eastAsia="仿宋_GB2312" w:hAnsi="Times New Roman"/>
                <w:sz w:val="21"/>
                <w:szCs w:val="21"/>
              </w:rPr>
            </w:pPr>
          </w:p>
        </w:tc>
        <w:tc>
          <w:tcPr>
            <w:tcW w:w="643" w:type="pct"/>
            <w:tcBorders>
              <w:top w:val="single" w:sz="4" w:space="0" w:color="auto"/>
              <w:left w:val="single" w:sz="4" w:space="0" w:color="000000"/>
              <w:bottom w:val="single" w:sz="4" w:space="0" w:color="auto"/>
              <w:right w:val="single" w:sz="4" w:space="0" w:color="000000"/>
            </w:tcBorders>
            <w:vAlign w:val="center"/>
          </w:tcPr>
          <w:p w14:paraId="5493F0C5"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不降低</w:t>
            </w:r>
          </w:p>
        </w:tc>
        <w:tc>
          <w:tcPr>
            <w:tcW w:w="550" w:type="pct"/>
            <w:tcBorders>
              <w:top w:val="single" w:sz="4" w:space="0" w:color="auto"/>
              <w:left w:val="single" w:sz="4" w:space="0" w:color="000000"/>
              <w:bottom w:val="single" w:sz="4" w:space="0" w:color="auto"/>
              <w:right w:val="single" w:sz="4" w:space="0" w:color="000000"/>
            </w:tcBorders>
            <w:vAlign w:val="center"/>
          </w:tcPr>
          <w:p w14:paraId="4A888823" w14:textId="77777777" w:rsidR="0017437C" w:rsidRPr="009A1767" w:rsidRDefault="0053037A">
            <w:pPr>
              <w:pStyle w:val="13"/>
              <w:spacing w:afterLines="0" w:line="276" w:lineRule="auto"/>
              <w:rPr>
                <w:rFonts w:ascii="仿宋_GB2312" w:eastAsia="仿宋_GB2312" w:hAnsi="Times New Roman"/>
                <w:sz w:val="21"/>
                <w:szCs w:val="21"/>
              </w:rPr>
            </w:pPr>
            <w:r w:rsidRPr="009A1767">
              <w:rPr>
                <w:rFonts w:ascii="仿宋_GB2312" w:eastAsia="仿宋_GB2312" w:hAnsi="Times New Roman" w:hint="eastAsia"/>
                <w:sz w:val="21"/>
                <w:szCs w:val="21"/>
              </w:rPr>
              <w:t>约束性</w:t>
            </w:r>
          </w:p>
        </w:tc>
      </w:tr>
    </w:tbl>
    <w:p w14:paraId="6AD6CE22" w14:textId="77777777" w:rsidR="0017437C" w:rsidRPr="009A1767" w:rsidRDefault="0053037A">
      <w:pPr>
        <w:ind w:firstLineChars="262" w:firstLine="838"/>
        <w:rPr>
          <w:rFonts w:ascii="黑体" w:eastAsia="黑体" w:hAnsi="黑体"/>
        </w:rPr>
      </w:pPr>
      <w:r w:rsidRPr="009A1767">
        <w:rPr>
          <w:rFonts w:ascii="黑体" w:eastAsia="黑体" w:hAnsi="黑体" w:hint="eastAsia"/>
        </w:rPr>
        <w:t>三、规划任务</w:t>
      </w:r>
    </w:p>
    <w:p w14:paraId="4DAEE4F6" w14:textId="77777777" w:rsidR="0017437C" w:rsidRPr="009A1767" w:rsidRDefault="0053037A">
      <w:pPr>
        <w:ind w:firstLine="640"/>
        <w:rPr>
          <w:rFonts w:ascii="楷体" w:eastAsia="楷体" w:hAnsi="楷体" w:cs="仿宋_GB2312"/>
          <w:bCs/>
          <w:color w:val="0000FF"/>
          <w:szCs w:val="32"/>
          <w:u w:val="single"/>
        </w:rPr>
      </w:pPr>
      <w:r w:rsidRPr="009A1767">
        <w:rPr>
          <w:rFonts w:ascii="楷体" w:eastAsia="楷体" w:hAnsi="楷体" w:cs="仿宋_GB2312" w:hint="eastAsia"/>
          <w:bCs/>
          <w:color w:val="0000FF"/>
          <w:szCs w:val="32"/>
          <w:u w:val="single"/>
        </w:rPr>
        <w:t>（一）坚持生态优先，持续着力优布局调结构。</w:t>
      </w:r>
    </w:p>
    <w:p w14:paraId="49929FE3" w14:textId="77777777" w:rsidR="0017437C" w:rsidRPr="009A1767" w:rsidRDefault="0053037A">
      <w:pPr>
        <w:ind w:firstLine="640"/>
        <w:rPr>
          <w:rFonts w:hAnsi="仿宋" w:cs="仿宋_GB2312"/>
          <w:szCs w:val="32"/>
        </w:rPr>
      </w:pPr>
      <w:r w:rsidRPr="009A1767">
        <w:rPr>
          <w:rFonts w:hAnsi="仿宋" w:cs="仿宋_GB2312" w:hint="eastAsia"/>
          <w:color w:val="0000FF"/>
          <w:szCs w:val="32"/>
          <w:u w:val="single"/>
        </w:rPr>
        <w:t>1</w:t>
      </w:r>
      <w:r w:rsidRPr="009A1767">
        <w:rPr>
          <w:rFonts w:hAnsi="仿宋" w:cs="仿宋_GB2312"/>
          <w:color w:val="0000FF"/>
          <w:szCs w:val="32"/>
          <w:u w:val="single"/>
        </w:rPr>
        <w:t>.</w:t>
      </w:r>
      <w:r w:rsidRPr="009A1767">
        <w:rPr>
          <w:rFonts w:hAnsi="仿宋" w:cs="仿宋_GB2312" w:hint="eastAsia"/>
          <w:szCs w:val="32"/>
        </w:rPr>
        <w:t>强化生态生活空间管控。</w:t>
      </w:r>
    </w:p>
    <w:p w14:paraId="190C9E3C" w14:textId="77777777" w:rsidR="0017437C" w:rsidRPr="009A1767" w:rsidRDefault="0053037A">
      <w:pPr>
        <w:ind w:firstLine="640"/>
        <w:rPr>
          <w:szCs w:val="30"/>
        </w:rPr>
      </w:pPr>
      <w:r w:rsidRPr="009A1767">
        <w:rPr>
          <w:rFonts w:hint="eastAsia"/>
          <w:bCs/>
          <w:szCs w:val="30"/>
        </w:rPr>
        <w:t>推进产业布局与生态空间协调发展。</w:t>
      </w:r>
      <w:r w:rsidRPr="009A1767">
        <w:rPr>
          <w:rFonts w:hint="eastAsia"/>
          <w:szCs w:val="30"/>
        </w:rPr>
        <w:t>严格落实国土空间</w:t>
      </w:r>
      <w:r w:rsidRPr="009A1767">
        <w:rPr>
          <w:rFonts w:hint="eastAsia"/>
          <w:szCs w:val="30"/>
        </w:rPr>
        <w:lastRenderedPageBreak/>
        <w:t>规划和“三线一单”生态环境分区管控体系，重点区域、重点流域、重点行业的发展规模、布局和结构，应符合其管控要求。在汾河、漳河（清漳东源、清漳西源、浊漳北源）、松溪河、潇河等河流谷地，云竹湖生态保护与修复区域，以及其他人居环境敏感的区域，严格高碳、高能耗、高排放项目建设，严控重污染行业产能规模，推进产业布局与生态空间协调发展。</w:t>
      </w:r>
    </w:p>
    <w:p w14:paraId="141F2450" w14:textId="5ABE2D17" w:rsidR="0017437C" w:rsidRPr="009A1767" w:rsidRDefault="0053037A">
      <w:pPr>
        <w:ind w:firstLine="640"/>
        <w:rPr>
          <w:szCs w:val="30"/>
        </w:rPr>
      </w:pPr>
      <w:r w:rsidRPr="009A1767">
        <w:rPr>
          <w:rFonts w:hint="eastAsia"/>
          <w:bCs/>
          <w:szCs w:val="30"/>
        </w:rPr>
        <w:t>保障重点流域生态安全。根据《山西省黄河流域生态保护和高质量发展规划》，对于黄河干流沿岸新上项目，一般以布局文化旅游生态项目为主，对新上的其他项目实施最严格的环保准入条件。</w:t>
      </w:r>
      <w:r w:rsidRPr="009A1767">
        <w:rPr>
          <w:rFonts w:hint="eastAsia"/>
          <w:szCs w:val="30"/>
        </w:rPr>
        <w:t>严禁在汾河、漳河（清漳东源、清漳西源、浊漳北源）临岸一定范围内布设高污染工业项目</w:t>
      </w:r>
      <w:r w:rsidR="00A73A01" w:rsidRPr="009A1767">
        <w:rPr>
          <w:rFonts w:hint="eastAsia"/>
          <w:szCs w:val="30"/>
        </w:rPr>
        <w:t>，</w:t>
      </w:r>
      <w:r w:rsidRPr="009A1767">
        <w:rPr>
          <w:rFonts w:hint="eastAsia"/>
          <w:szCs w:val="30"/>
        </w:rPr>
        <w:t>严禁在云竹湖生态保护与修复区域新改扩建焦化、钢铁、化工、有色金属冶炼、水泥等高污染项目，以及危险化学品贮存、处理处置等高风险项目。</w:t>
      </w:r>
    </w:p>
    <w:p w14:paraId="09C0D39A" w14:textId="23105B1F" w:rsidR="0017437C" w:rsidRPr="009A1767" w:rsidRDefault="0053037A">
      <w:pPr>
        <w:ind w:firstLine="640"/>
        <w:rPr>
          <w:rFonts w:hAnsi="仿宋" w:cs="仿宋_GB2312"/>
          <w:szCs w:val="32"/>
        </w:rPr>
      </w:pPr>
      <w:r w:rsidRPr="009A1767">
        <w:rPr>
          <w:rFonts w:hint="eastAsia"/>
          <w:bCs/>
          <w:szCs w:val="30"/>
        </w:rPr>
        <w:t>优化生活空间保护格局。</w:t>
      </w:r>
      <w:r w:rsidRPr="009A1767">
        <w:rPr>
          <w:rFonts w:hint="eastAsia"/>
          <w:szCs w:val="30"/>
        </w:rPr>
        <w:t>城市（含县城）规划区范围内,不再新布局包括产能置换项目在内的钢铁(不含短流程炼钢)、铸造(不含高端铸件)、水泥、有色等项目，区域内现有产能只减不增。继续推进城市（含县城）建成区及周边重污染企业搬迁退出，推进重污染企业退城入园</w:t>
      </w:r>
      <w:r w:rsidR="00A73A01" w:rsidRPr="009A1767">
        <w:rPr>
          <w:rFonts w:hint="eastAsia"/>
          <w:szCs w:val="30"/>
        </w:rPr>
        <w:t>。</w:t>
      </w:r>
      <w:r w:rsidRPr="009A1767">
        <w:rPr>
          <w:rFonts w:hint="eastAsia"/>
          <w:szCs w:val="30"/>
        </w:rPr>
        <w:t>积极推进城镇周边新兴产业布局，发展清洁、低碳、绿色产业，加速“产</w:t>
      </w:r>
      <w:r w:rsidRPr="009A1767">
        <w:rPr>
          <w:rFonts w:hint="eastAsia"/>
          <w:szCs w:val="30"/>
        </w:rPr>
        <w:lastRenderedPageBreak/>
        <w:t>城融合”，提升人居环境质量。</w:t>
      </w:r>
    </w:p>
    <w:p w14:paraId="458279CF" w14:textId="77777777" w:rsidR="0017437C" w:rsidRPr="009A1767" w:rsidRDefault="0053037A">
      <w:pPr>
        <w:ind w:firstLine="640"/>
        <w:rPr>
          <w:rFonts w:hAnsi="仿宋" w:cs="仿宋_GB2312"/>
          <w:szCs w:val="32"/>
        </w:rPr>
      </w:pPr>
      <w:r w:rsidRPr="009A1767">
        <w:rPr>
          <w:rFonts w:hAnsi="仿宋" w:cs="仿宋_GB2312" w:hint="eastAsia"/>
          <w:color w:val="0000FF"/>
          <w:szCs w:val="32"/>
          <w:u w:val="single"/>
        </w:rPr>
        <w:t>2</w:t>
      </w:r>
      <w:r w:rsidRPr="009A1767">
        <w:rPr>
          <w:rFonts w:hAnsi="仿宋" w:cs="仿宋_GB2312"/>
          <w:color w:val="0000FF"/>
          <w:szCs w:val="32"/>
          <w:u w:val="single"/>
        </w:rPr>
        <w:t>.</w:t>
      </w:r>
      <w:r w:rsidRPr="009A1767">
        <w:rPr>
          <w:rFonts w:hAnsi="仿宋" w:cs="仿宋_GB2312" w:hint="eastAsia"/>
          <w:szCs w:val="32"/>
        </w:rPr>
        <w:t>推动产业布局优化调整。</w:t>
      </w:r>
    </w:p>
    <w:p w14:paraId="3987E340" w14:textId="77777777" w:rsidR="0017437C" w:rsidRPr="009A1767" w:rsidRDefault="0053037A">
      <w:pPr>
        <w:ind w:firstLine="640"/>
        <w:rPr>
          <w:szCs w:val="30"/>
        </w:rPr>
      </w:pPr>
      <w:r w:rsidRPr="009A1767">
        <w:rPr>
          <w:rFonts w:hint="eastAsia"/>
          <w:bCs/>
          <w:szCs w:val="30"/>
        </w:rPr>
        <w:t>科学规划重点产业。</w:t>
      </w:r>
      <w:r w:rsidRPr="009A1767">
        <w:rPr>
          <w:rFonts w:hint="eastAsia"/>
          <w:szCs w:val="30"/>
        </w:rPr>
        <w:t>紧抓当前我省新一轮焦化等重点产业重组布局和生产力空间优化机遇，立足区域产业定位、产业基础和比较优势，按照“错位发展、产业集聚、链条延伸”的原则，坚持生态优先、绿色发展，做好重点产业布局规划，确保产业科学规划、合理布局。</w:t>
      </w:r>
    </w:p>
    <w:p w14:paraId="2D25DB0E" w14:textId="77777777" w:rsidR="0017437C" w:rsidRPr="009A1767" w:rsidRDefault="0053037A">
      <w:pPr>
        <w:ind w:firstLine="640"/>
        <w:rPr>
          <w:szCs w:val="30"/>
        </w:rPr>
      </w:pPr>
      <w:r w:rsidRPr="009A1767">
        <w:rPr>
          <w:rFonts w:hint="eastAsia"/>
          <w:bCs/>
          <w:szCs w:val="30"/>
        </w:rPr>
        <w:t>有效衔接上位规划。</w:t>
      </w:r>
      <w:r w:rsidRPr="009A1767">
        <w:rPr>
          <w:rFonts w:hint="eastAsia"/>
          <w:szCs w:val="30"/>
        </w:rPr>
        <w:t>贯彻落实国家和我省黄河流域生态保护和高质量发展战略，按照国土空间规划和“三线一单”生态环境分区管控要求，加强与主体功能区划、城市总体规划、生态功能区等有效衔接，从控制传统产业规模、调整产业结构、严格环境准入入手，推动重点产业转型升级，构建产业绿色发展格局。</w:t>
      </w:r>
    </w:p>
    <w:p w14:paraId="20516288" w14:textId="2A8A651D" w:rsidR="0017437C" w:rsidRPr="009A1767" w:rsidRDefault="0053037A">
      <w:pPr>
        <w:ind w:firstLine="640"/>
        <w:rPr>
          <w:szCs w:val="30"/>
        </w:rPr>
      </w:pPr>
      <w:r w:rsidRPr="009A1767">
        <w:rPr>
          <w:rFonts w:hint="eastAsia"/>
          <w:bCs/>
          <w:szCs w:val="30"/>
        </w:rPr>
        <w:t>推动产业布局优化。</w:t>
      </w:r>
      <w:r w:rsidRPr="009A1767">
        <w:rPr>
          <w:rFonts w:hint="eastAsia"/>
          <w:szCs w:val="30"/>
        </w:rPr>
        <w:t>推动焦化、化工、钢铁、有色等传统产业布局优化和提档升级。支持焦化、煤化工、钢铁等重大转型升级项目依托“一区多园”模式</w:t>
      </w:r>
      <w:r w:rsidR="00A73A01" w:rsidRPr="009A1767">
        <w:rPr>
          <w:rFonts w:hint="eastAsia"/>
          <w:szCs w:val="30"/>
        </w:rPr>
        <w:t>。</w:t>
      </w:r>
      <w:r w:rsidRPr="009A1767">
        <w:rPr>
          <w:rFonts w:hint="eastAsia"/>
          <w:szCs w:val="30"/>
        </w:rPr>
        <w:t>鼓励焦化、化工、钢铁、有色金属等传统产业打破行政区划限制，采用“飞地经济”模式，向大气扩散条件好、环境承载能力强、人口密度低、经济欠发达、可以实现资源和产业互补，并符合当地产业发展布局的区域转移，缓解产业布局不合理现状。</w:t>
      </w:r>
    </w:p>
    <w:p w14:paraId="6D3DC8F4" w14:textId="5E46A7F4" w:rsidR="0017437C" w:rsidRPr="009A1767" w:rsidRDefault="0053037A">
      <w:pPr>
        <w:ind w:firstLine="640"/>
        <w:rPr>
          <w:szCs w:val="30"/>
        </w:rPr>
      </w:pPr>
      <w:r w:rsidRPr="009A1767">
        <w:rPr>
          <w:rFonts w:hint="eastAsia"/>
          <w:bCs/>
          <w:szCs w:val="30"/>
        </w:rPr>
        <w:t>引导企业进区入园。</w:t>
      </w:r>
      <w:r w:rsidRPr="009A1767">
        <w:rPr>
          <w:rFonts w:hint="eastAsia"/>
          <w:szCs w:val="30"/>
        </w:rPr>
        <w:t>结合“散乱污”企业</w:t>
      </w:r>
      <w:r w:rsidRPr="009A1767">
        <w:rPr>
          <w:rFonts w:hAnsi="仿宋_GB2312" w:cs="仿宋_GB2312" w:hint="eastAsia"/>
          <w:szCs w:val="32"/>
        </w:rPr>
        <w:t>综合整治，</w:t>
      </w:r>
      <w:r w:rsidRPr="009A1767">
        <w:rPr>
          <w:rFonts w:hint="eastAsia"/>
          <w:szCs w:val="30"/>
        </w:rPr>
        <w:t>根</w:t>
      </w:r>
      <w:r w:rsidRPr="009A1767">
        <w:rPr>
          <w:rFonts w:hint="eastAsia"/>
          <w:szCs w:val="30"/>
        </w:rPr>
        <w:lastRenderedPageBreak/>
        <w:t>据企业情况综合施策，鼓励引导符合规划、环保、安全等相关标准的企业“进区入园”升级改造</w:t>
      </w:r>
      <w:r w:rsidR="00A73A01" w:rsidRPr="009A1767">
        <w:rPr>
          <w:rFonts w:hint="eastAsia"/>
          <w:szCs w:val="30"/>
        </w:rPr>
        <w:t>。</w:t>
      </w:r>
      <w:r w:rsidRPr="009A1767">
        <w:rPr>
          <w:rFonts w:hint="eastAsia"/>
          <w:szCs w:val="30"/>
        </w:rPr>
        <w:t>加快零散化工企业调整关闭和搬迁入园，推动化工集中区域整治取得实效。</w:t>
      </w:r>
    </w:p>
    <w:p w14:paraId="765338C4" w14:textId="77777777" w:rsidR="0017437C" w:rsidRPr="009A1767" w:rsidRDefault="0053037A">
      <w:pPr>
        <w:ind w:firstLine="640"/>
        <w:rPr>
          <w:rFonts w:hAnsi="仿宋" w:cs="仿宋_GB2312"/>
          <w:szCs w:val="32"/>
        </w:rPr>
      </w:pPr>
      <w:r w:rsidRPr="009A1767">
        <w:rPr>
          <w:rFonts w:hAnsi="仿宋" w:cs="仿宋_GB2312" w:hint="eastAsia"/>
          <w:color w:val="0000FF"/>
          <w:szCs w:val="32"/>
          <w:u w:val="single"/>
        </w:rPr>
        <w:t>3</w:t>
      </w:r>
      <w:r w:rsidRPr="009A1767">
        <w:rPr>
          <w:rFonts w:hAnsi="仿宋" w:cs="仿宋_GB2312"/>
          <w:color w:val="0000FF"/>
          <w:szCs w:val="32"/>
          <w:u w:val="single"/>
        </w:rPr>
        <w:t>.</w:t>
      </w:r>
      <w:r w:rsidRPr="009A1767">
        <w:rPr>
          <w:rFonts w:hAnsi="仿宋" w:cs="仿宋_GB2312" w:hint="eastAsia"/>
          <w:szCs w:val="32"/>
        </w:rPr>
        <w:t>加快产业结构转型升级。</w:t>
      </w:r>
    </w:p>
    <w:p w14:paraId="71B5A86B" w14:textId="77777777" w:rsidR="0017437C" w:rsidRPr="009A1767" w:rsidRDefault="0053037A">
      <w:pPr>
        <w:ind w:firstLine="640"/>
        <w:rPr>
          <w:szCs w:val="30"/>
        </w:rPr>
      </w:pPr>
      <w:r w:rsidRPr="009A1767">
        <w:rPr>
          <w:rFonts w:hint="eastAsia"/>
          <w:bCs/>
          <w:szCs w:val="30"/>
        </w:rPr>
        <w:t>持续推进落后产能淘汰关停。</w:t>
      </w:r>
      <w:r w:rsidRPr="009A1767">
        <w:rPr>
          <w:rFonts w:hint="eastAsia"/>
          <w:szCs w:val="30"/>
        </w:rPr>
        <w:t>深入推进供给侧结构性改革，以产业转型升级、绿色发展为主要目标，严格落实“三线一单”和“两高”行业产能控制要求。加大淘汰落后煤电机组力度，落实省能源局关于淘汰落后小火电机组的部署任务。推动“以焦为主”向“以化领焦”转变，全面完成炭化室高度4.3米焦炉淘汰。针对建材、铸造、玻璃制品、工业炉窑等行业，依法依规有序推进环保、安全、质量、能耗、技术达不到标准的行业、落后产能退出。</w:t>
      </w:r>
    </w:p>
    <w:p w14:paraId="610AFC64" w14:textId="08D797A9" w:rsidR="0017437C" w:rsidRPr="009A1767" w:rsidRDefault="0053037A">
      <w:pPr>
        <w:ind w:firstLine="640"/>
        <w:rPr>
          <w:rFonts w:hAnsi="仿宋_GB2312" w:cs="仿宋_GB2312"/>
          <w:szCs w:val="32"/>
        </w:rPr>
      </w:pPr>
      <w:r w:rsidRPr="009A1767">
        <w:rPr>
          <w:rFonts w:hAnsi="仿宋_GB2312" w:cs="仿宋_GB2312" w:hint="eastAsia"/>
          <w:bCs/>
          <w:szCs w:val="32"/>
        </w:rPr>
        <w:t>推进传统产业转型升级。</w:t>
      </w:r>
      <w:r w:rsidRPr="009A1767">
        <w:rPr>
          <w:rFonts w:hAnsi="仿宋_GB2312" w:cs="仿宋_GB2312" w:hint="eastAsia"/>
          <w:szCs w:val="32"/>
        </w:rPr>
        <w:t>加快推进煤矿智能化、绿色化改造，通过煤矿智能化试点建设，打造一批智慧矿山。大力推进煤矿矸石充填开采、沿空留巷等绿色开采技术；积极推进新建煤矿配套建设井下智能分选系统，实现不可利用矸石全部返井。加快推进绿色焦化产业集聚发展。以祁县、太谷等为重点，加快传统碳素行业提档升级，大力培育石墨烯、高强度碳纤维、超级电容炭等高端碳材料。推进废钢综合利用，提升冶金产业循环发展水平。</w:t>
      </w:r>
    </w:p>
    <w:p w14:paraId="7D817B57" w14:textId="77777777" w:rsidR="0017437C" w:rsidRPr="009A1767" w:rsidRDefault="0053037A">
      <w:pPr>
        <w:ind w:firstLine="640"/>
        <w:rPr>
          <w:rFonts w:hAnsi="仿宋" w:cs="仿宋_GB2312"/>
          <w:szCs w:val="32"/>
        </w:rPr>
      </w:pPr>
      <w:r w:rsidRPr="009A1767">
        <w:rPr>
          <w:rFonts w:hAnsi="仿宋_GB2312" w:cs="仿宋_GB2312" w:hint="eastAsia"/>
          <w:color w:val="0000FF"/>
          <w:szCs w:val="32"/>
          <w:u w:val="single"/>
        </w:rPr>
        <w:t>4</w:t>
      </w:r>
      <w:r w:rsidRPr="009A1767">
        <w:rPr>
          <w:rFonts w:hAnsi="仿宋_GB2312" w:cs="仿宋_GB2312"/>
          <w:color w:val="0000FF"/>
          <w:szCs w:val="32"/>
          <w:u w:val="single"/>
        </w:rPr>
        <w:t>.</w:t>
      </w:r>
      <w:r w:rsidRPr="009A1767">
        <w:rPr>
          <w:rFonts w:hAnsi="仿宋_GB2312" w:cs="仿宋_GB2312" w:hint="eastAsia"/>
          <w:szCs w:val="32"/>
        </w:rPr>
        <w:t>支持战略性新兴产业发展。</w:t>
      </w:r>
    </w:p>
    <w:p w14:paraId="6B65B1D6" w14:textId="77777777" w:rsidR="0017437C" w:rsidRPr="009A1767" w:rsidRDefault="0053037A">
      <w:pPr>
        <w:ind w:firstLine="640"/>
        <w:rPr>
          <w:szCs w:val="30"/>
        </w:rPr>
      </w:pPr>
      <w:r w:rsidRPr="009A1767">
        <w:rPr>
          <w:rFonts w:hint="eastAsia"/>
          <w:bCs/>
          <w:szCs w:val="30"/>
        </w:rPr>
        <w:lastRenderedPageBreak/>
        <w:t>为“六新”产业腾出布局空间。</w:t>
      </w:r>
      <w:r w:rsidRPr="009A1767">
        <w:rPr>
          <w:rFonts w:hint="eastAsia"/>
          <w:szCs w:val="30"/>
        </w:rPr>
        <w:t>与城区、县城相邻的各类开发区、工业园区和产业集聚区，不得布局高污染、高排放、高风险和产能过剩项目，现有的高污染、高排放、高风险和产能过剩项目逐步退出，为新技术、新材料、新装备、新产品等“六新”产业腾出环境容量和布局空间。</w:t>
      </w:r>
    </w:p>
    <w:p w14:paraId="37645B0D" w14:textId="77777777" w:rsidR="0017437C" w:rsidRPr="009A1767" w:rsidRDefault="0053037A">
      <w:pPr>
        <w:ind w:firstLine="640"/>
        <w:rPr>
          <w:szCs w:val="30"/>
        </w:rPr>
      </w:pPr>
      <w:r w:rsidRPr="009A1767">
        <w:rPr>
          <w:rFonts w:hint="eastAsia"/>
          <w:bCs/>
          <w:szCs w:val="30"/>
        </w:rPr>
        <w:t>优先安排新兴产业布局。</w:t>
      </w:r>
      <w:r w:rsidRPr="009A1767">
        <w:rPr>
          <w:rFonts w:hint="eastAsia"/>
          <w:szCs w:val="30"/>
        </w:rPr>
        <w:t>对半导体、大数据、信创、新能源等战略性新兴产业、能源革命综合改革试点项目和转型升级重大项目，从污染物总量配置、环评审批、精准服务等方面予以支持，加快形成标志性引领产业，促进“六新”等项目集群化、智能化发展。</w:t>
      </w:r>
    </w:p>
    <w:p w14:paraId="2005C263" w14:textId="77777777" w:rsidR="0017437C" w:rsidRPr="009A1767" w:rsidRDefault="0053037A">
      <w:pPr>
        <w:ind w:firstLine="640"/>
        <w:rPr>
          <w:rFonts w:ascii="楷体" w:eastAsia="楷体" w:hAnsi="楷体" w:cs="仿宋_GB2312"/>
          <w:color w:val="0000FF"/>
          <w:szCs w:val="32"/>
          <w:u w:val="single"/>
        </w:rPr>
      </w:pPr>
      <w:r w:rsidRPr="009A1767">
        <w:rPr>
          <w:rFonts w:ascii="楷体" w:eastAsia="楷体" w:hAnsi="楷体" w:cs="仿宋_GB2312" w:hint="eastAsia"/>
          <w:color w:val="0000FF"/>
          <w:szCs w:val="32"/>
          <w:u w:val="single"/>
        </w:rPr>
        <w:t>（二）坚持“双碳”引领，积极推动绿色低碳发展。</w:t>
      </w:r>
    </w:p>
    <w:p w14:paraId="17FF2071" w14:textId="77777777" w:rsidR="0017437C" w:rsidRPr="009A1767" w:rsidRDefault="0053037A">
      <w:pPr>
        <w:ind w:firstLine="640"/>
        <w:rPr>
          <w:rFonts w:hAnsi="仿宋" w:cs="仿宋_GB2312"/>
          <w:szCs w:val="32"/>
        </w:rPr>
      </w:pPr>
      <w:r w:rsidRPr="009A1767">
        <w:rPr>
          <w:rFonts w:hAnsi="仿宋" w:cs="仿宋_GB2312" w:hint="eastAsia"/>
          <w:color w:val="0000FF"/>
          <w:szCs w:val="32"/>
          <w:u w:val="single"/>
        </w:rPr>
        <w:t>1</w:t>
      </w:r>
      <w:r w:rsidRPr="009A1767">
        <w:rPr>
          <w:rFonts w:hAnsi="仿宋" w:cs="仿宋_GB2312"/>
          <w:color w:val="0000FF"/>
          <w:szCs w:val="32"/>
          <w:u w:val="single"/>
        </w:rPr>
        <w:t>.</w:t>
      </w:r>
      <w:r w:rsidRPr="009A1767">
        <w:rPr>
          <w:rFonts w:hAnsi="仿宋" w:cs="仿宋_GB2312" w:hint="eastAsia"/>
          <w:szCs w:val="32"/>
        </w:rPr>
        <w:t>科学推动双碳目标落实。</w:t>
      </w:r>
    </w:p>
    <w:p w14:paraId="318C45AD" w14:textId="5D565313" w:rsidR="0017437C" w:rsidRPr="009A1767" w:rsidRDefault="0053037A">
      <w:pPr>
        <w:ind w:firstLine="640"/>
        <w:rPr>
          <w:szCs w:val="30"/>
        </w:rPr>
      </w:pPr>
      <w:r w:rsidRPr="009A1767">
        <w:rPr>
          <w:rFonts w:hint="eastAsia"/>
          <w:bCs/>
          <w:szCs w:val="30"/>
        </w:rPr>
        <w:t>制定二氧化碳排放达峰行动方案。</w:t>
      </w:r>
      <w:r w:rsidRPr="009A1767">
        <w:rPr>
          <w:kern w:val="0"/>
          <w:szCs w:val="32"/>
        </w:rPr>
        <w:t>围绕碳达峰目标和碳中和愿景，</w:t>
      </w:r>
      <w:r w:rsidRPr="009A1767">
        <w:rPr>
          <w:rFonts w:hint="eastAsia"/>
          <w:szCs w:val="30"/>
        </w:rPr>
        <w:t>对标国家和我省目标，开展我市二氧化碳排放达峰研究</w:t>
      </w:r>
      <w:r w:rsidR="00A73A01" w:rsidRPr="009A1767">
        <w:rPr>
          <w:rFonts w:hint="eastAsia"/>
          <w:szCs w:val="30"/>
        </w:rPr>
        <w:t>，</w:t>
      </w:r>
      <w:r w:rsidRPr="009A1767">
        <w:rPr>
          <w:rFonts w:hint="eastAsia"/>
          <w:szCs w:val="30"/>
        </w:rPr>
        <w:t>科学制定实施碳达峰行动方案，合理确定有序达峰目标。完善碳排放统计、核算制度，定期编制温室气体排放清单。</w:t>
      </w:r>
    </w:p>
    <w:p w14:paraId="6D59C148" w14:textId="3628F641" w:rsidR="0017437C" w:rsidRPr="009A1767" w:rsidRDefault="0053037A">
      <w:pPr>
        <w:ind w:firstLine="640"/>
        <w:rPr>
          <w:b/>
          <w:szCs w:val="30"/>
        </w:rPr>
      </w:pPr>
      <w:r w:rsidRPr="009A1767">
        <w:rPr>
          <w:rFonts w:hint="eastAsia"/>
          <w:bCs/>
          <w:szCs w:val="30"/>
        </w:rPr>
        <w:t>重点行业企业率先实施达峰行动。</w:t>
      </w:r>
      <w:r w:rsidRPr="009A1767">
        <w:rPr>
          <w:rFonts w:hint="eastAsia"/>
          <w:szCs w:val="30"/>
        </w:rPr>
        <w:t>化工、建材、钢铁、有色、造纸、电力等重点行业企业规范温室气体排放报告，夯实碳排放数据基础。火电、煤炭、钢铁、焦化、水泥、化工等重点行业深入开展达峰行动，支持重点企业实施碳减排</w:t>
      </w:r>
      <w:r w:rsidRPr="009A1767">
        <w:rPr>
          <w:rFonts w:hint="eastAsia"/>
          <w:szCs w:val="30"/>
        </w:rPr>
        <w:lastRenderedPageBreak/>
        <w:t>示范工程</w:t>
      </w:r>
      <w:r w:rsidR="009A1767" w:rsidRPr="009A1767">
        <w:rPr>
          <w:rFonts w:hint="eastAsia"/>
          <w:szCs w:val="30"/>
        </w:rPr>
        <w:t>。</w:t>
      </w:r>
      <w:r w:rsidRPr="009A1767">
        <w:rPr>
          <w:rFonts w:hint="eastAsia"/>
          <w:szCs w:val="30"/>
        </w:rPr>
        <w:t>加大对企业低碳技术创新的支持力度，探索建立相关激励机制。</w:t>
      </w:r>
    </w:p>
    <w:p w14:paraId="2758D348" w14:textId="77777777" w:rsidR="0017437C" w:rsidRPr="009A1767" w:rsidRDefault="0053037A">
      <w:pPr>
        <w:ind w:firstLine="640"/>
        <w:rPr>
          <w:szCs w:val="30"/>
        </w:rPr>
      </w:pPr>
      <w:r w:rsidRPr="009A1767">
        <w:rPr>
          <w:rFonts w:hAnsi="微软雅黑" w:cs="宋体" w:hint="eastAsia"/>
          <w:bCs/>
          <w:kern w:val="0"/>
          <w:szCs w:val="32"/>
        </w:rPr>
        <w:t>发挥</w:t>
      </w:r>
      <w:r w:rsidRPr="009A1767">
        <w:rPr>
          <w:rFonts w:hAnsi="微软雅黑" w:cs="宋体"/>
          <w:bCs/>
          <w:kern w:val="0"/>
          <w:szCs w:val="32"/>
        </w:rPr>
        <w:t>碳市场减排效应。</w:t>
      </w:r>
      <w:r w:rsidRPr="009A1767">
        <w:rPr>
          <w:rFonts w:hint="eastAsia"/>
          <w:szCs w:val="32"/>
        </w:rPr>
        <w:t>加强碳减排制度和能力建设，</w:t>
      </w:r>
      <w:r w:rsidRPr="009A1767">
        <w:rPr>
          <w:rFonts w:hAnsi="微软雅黑" w:cs="宋体"/>
          <w:kern w:val="0"/>
          <w:szCs w:val="32"/>
        </w:rPr>
        <w:t>发挥市场机制优化配置碳排放空间资源的作用，</w:t>
      </w:r>
      <w:r w:rsidRPr="009A1767">
        <w:rPr>
          <w:rFonts w:hint="eastAsia"/>
          <w:szCs w:val="32"/>
        </w:rPr>
        <w:t>以市场化机制和经济手段降低碳排放强度，</w:t>
      </w:r>
      <w:r w:rsidRPr="009A1767">
        <w:rPr>
          <w:rFonts w:hAnsi="微软雅黑" w:cs="宋体"/>
          <w:kern w:val="0"/>
          <w:szCs w:val="32"/>
        </w:rPr>
        <w:t>有效引导资金流向低碳发展领域，倒逼能源消费和产业结构低碳化。</w:t>
      </w:r>
      <w:r w:rsidRPr="009A1767">
        <w:rPr>
          <w:rFonts w:hAnsi="微软雅黑" w:cs="宋体" w:hint="eastAsia"/>
          <w:kern w:val="0"/>
          <w:szCs w:val="32"/>
        </w:rPr>
        <w:t>加强重点排放单位温室气体排放报告核查，夯实碳减排基础数据。主动融入全国碳排放交易，推动基于项目的温室气体自愿减排交易活动。探索推进碳排放交易制度和排污许可管理制度融合。</w:t>
      </w:r>
    </w:p>
    <w:p w14:paraId="15AE28D5" w14:textId="77777777" w:rsidR="0017437C" w:rsidRPr="009A1767" w:rsidRDefault="0053037A">
      <w:pPr>
        <w:ind w:firstLine="640"/>
        <w:rPr>
          <w:rFonts w:hAnsi="仿宋" w:cs="仿宋_GB2312"/>
          <w:szCs w:val="32"/>
        </w:rPr>
      </w:pPr>
      <w:r w:rsidRPr="009A1767">
        <w:rPr>
          <w:rFonts w:hAnsi="仿宋" w:cs="仿宋_GB2312" w:hint="eastAsia"/>
          <w:color w:val="0000FF"/>
          <w:szCs w:val="32"/>
          <w:u w:val="single"/>
        </w:rPr>
        <w:t>2</w:t>
      </w:r>
      <w:r w:rsidRPr="009A1767">
        <w:rPr>
          <w:rFonts w:hAnsi="仿宋" w:cs="仿宋_GB2312"/>
          <w:color w:val="0000FF"/>
          <w:szCs w:val="32"/>
          <w:u w:val="single"/>
        </w:rPr>
        <w:t>.</w:t>
      </w:r>
      <w:r w:rsidRPr="009A1767">
        <w:rPr>
          <w:rFonts w:hAnsi="仿宋" w:cs="仿宋_GB2312" w:hint="eastAsia"/>
          <w:szCs w:val="32"/>
        </w:rPr>
        <w:t>深化能源革命综合改革。</w:t>
      </w:r>
    </w:p>
    <w:p w14:paraId="55612548" w14:textId="5C7BFB12" w:rsidR="0017437C" w:rsidRPr="009A1767" w:rsidRDefault="0053037A">
      <w:pPr>
        <w:ind w:firstLine="640"/>
        <w:rPr>
          <w:rFonts w:hAnsi="仿宋_GB2312" w:cs="仿宋_GB2312"/>
          <w:bCs/>
          <w:szCs w:val="32"/>
        </w:rPr>
      </w:pPr>
      <w:r w:rsidRPr="009A1767">
        <w:rPr>
          <w:rFonts w:hAnsi="仿宋_GB2312" w:cs="仿宋_GB2312" w:hint="eastAsia"/>
          <w:bCs/>
          <w:szCs w:val="32"/>
        </w:rPr>
        <w:t>有序推进煤炭消费减量替代。</w:t>
      </w:r>
      <w:r w:rsidRPr="009A1767">
        <w:rPr>
          <w:rFonts w:hAnsi="仿宋_GB2312" w:cs="仿宋_GB2312" w:hint="eastAsia"/>
          <w:szCs w:val="32"/>
        </w:rPr>
        <w:t>合理控制煤炭消费总量，</w:t>
      </w:r>
      <w:r w:rsidRPr="009A1767">
        <w:rPr>
          <w:rFonts w:hAnsi="仿宋_GB2312" w:cs="仿宋_GB2312" w:hint="eastAsia"/>
          <w:bCs/>
          <w:szCs w:val="32"/>
        </w:rPr>
        <w:t>稳步</w:t>
      </w:r>
      <w:r w:rsidRPr="009A1767">
        <w:rPr>
          <w:rFonts w:hAnsi="仿宋_GB2312" w:cs="仿宋_GB2312" w:hint="eastAsia"/>
          <w:szCs w:val="32"/>
        </w:rPr>
        <w:t>实现煤炭消费总量负增长</w:t>
      </w:r>
      <w:r w:rsidRPr="009A1767">
        <w:rPr>
          <w:rFonts w:hAnsi="仿宋_GB2312" w:cs="仿宋_GB2312" w:hint="eastAsia"/>
          <w:bCs/>
          <w:szCs w:val="32"/>
        </w:rPr>
        <w:t>，完成省下达我市煤炭消费总量目标任务。</w:t>
      </w:r>
      <w:r w:rsidRPr="009A1767">
        <w:rPr>
          <w:szCs w:val="32"/>
        </w:rPr>
        <w:t>严控新增耗煤项目</w:t>
      </w:r>
      <w:r w:rsidRPr="009A1767">
        <w:rPr>
          <w:rFonts w:hint="eastAsia"/>
          <w:szCs w:val="32"/>
        </w:rPr>
        <w:t>，</w:t>
      </w:r>
      <w:r w:rsidRPr="009A1767">
        <w:rPr>
          <w:szCs w:val="32"/>
        </w:rPr>
        <w:t>原则上控制新增煤电项目</w:t>
      </w:r>
      <w:r w:rsidRPr="009A1767">
        <w:rPr>
          <w:rFonts w:hint="eastAsia"/>
          <w:szCs w:val="32"/>
        </w:rPr>
        <w:t>，</w:t>
      </w:r>
      <w:r w:rsidRPr="009A1767">
        <w:rPr>
          <w:szCs w:val="32"/>
        </w:rPr>
        <w:t>严禁审批</w:t>
      </w:r>
      <w:r w:rsidRPr="009A1767">
        <w:rPr>
          <w:rFonts w:hint="eastAsia"/>
          <w:szCs w:val="32"/>
        </w:rPr>
        <w:t>、</w:t>
      </w:r>
      <w:r w:rsidRPr="009A1767">
        <w:rPr>
          <w:szCs w:val="32"/>
        </w:rPr>
        <w:t>核准</w:t>
      </w:r>
      <w:r w:rsidRPr="009A1767">
        <w:rPr>
          <w:rFonts w:hint="eastAsia"/>
          <w:szCs w:val="32"/>
        </w:rPr>
        <w:t>、</w:t>
      </w:r>
      <w:r w:rsidRPr="009A1767">
        <w:rPr>
          <w:szCs w:val="32"/>
        </w:rPr>
        <w:t>备案焦化</w:t>
      </w:r>
      <w:r w:rsidRPr="009A1767">
        <w:rPr>
          <w:rFonts w:hint="eastAsia"/>
          <w:szCs w:val="32"/>
        </w:rPr>
        <w:t>、</w:t>
      </w:r>
      <w:r w:rsidRPr="009A1767">
        <w:rPr>
          <w:szCs w:val="32"/>
        </w:rPr>
        <w:t>钢铁</w:t>
      </w:r>
      <w:r w:rsidRPr="009A1767">
        <w:rPr>
          <w:rFonts w:hint="eastAsia"/>
          <w:szCs w:val="32"/>
        </w:rPr>
        <w:t>、</w:t>
      </w:r>
      <w:r w:rsidRPr="009A1767">
        <w:rPr>
          <w:szCs w:val="32"/>
        </w:rPr>
        <w:t>水泥等新增产能项目</w:t>
      </w:r>
      <w:r w:rsidRPr="009A1767">
        <w:rPr>
          <w:rFonts w:hAnsi="仿宋_GB2312" w:cs="仿宋_GB2312" w:hint="eastAsia"/>
          <w:bCs/>
          <w:szCs w:val="32"/>
        </w:rPr>
        <w:t>。持续推进</w:t>
      </w:r>
      <w:r w:rsidRPr="009A1767">
        <w:rPr>
          <w:rFonts w:hint="eastAsia"/>
          <w:szCs w:val="32"/>
        </w:rPr>
        <w:t>新建、改建、扩建的新增煤炭消费项目实施煤炭消费减量替代。</w:t>
      </w:r>
      <w:r w:rsidRPr="009A1767">
        <w:rPr>
          <w:rFonts w:hAnsi="仿宋_GB2312" w:cs="仿宋_GB2312" w:hint="eastAsia"/>
          <w:bCs/>
          <w:szCs w:val="32"/>
        </w:rPr>
        <w:t>严格重点耗煤行业准入，新建高耗能项目单位产品（产值）能耗、煤耗要达到国内或国际先进水平。</w:t>
      </w:r>
    </w:p>
    <w:p w14:paraId="0AE013F3" w14:textId="77777777" w:rsidR="0017437C" w:rsidRPr="009A1767" w:rsidRDefault="0053037A">
      <w:pPr>
        <w:ind w:firstLine="640"/>
        <w:rPr>
          <w:rFonts w:hAnsi="仿宋_GB2312" w:cs="仿宋_GB2312"/>
          <w:bCs/>
          <w:szCs w:val="32"/>
        </w:rPr>
      </w:pPr>
      <w:r w:rsidRPr="009A1767">
        <w:rPr>
          <w:rFonts w:hAnsi="仿宋_GB2312" w:cs="仿宋_GB2312" w:hint="eastAsia"/>
          <w:szCs w:val="32"/>
        </w:rPr>
        <w:t>加速推进煤成气增储上产。</w:t>
      </w:r>
      <w:r w:rsidRPr="009A1767">
        <w:rPr>
          <w:rFonts w:hAnsi="仿宋_GB2312" w:cs="仿宋_GB2312" w:hint="eastAsia"/>
          <w:bCs/>
          <w:szCs w:val="32"/>
        </w:rPr>
        <w:t>着力</w:t>
      </w:r>
      <w:r w:rsidRPr="009A1767">
        <w:rPr>
          <w:rFonts w:hAnsi="仿宋_GB2312" w:cs="仿宋_GB2312"/>
          <w:bCs/>
          <w:szCs w:val="32"/>
        </w:rPr>
        <w:t>打造具有煤成气特色的大产业链产业集群</w:t>
      </w:r>
      <w:r w:rsidRPr="009A1767">
        <w:rPr>
          <w:rFonts w:hAnsi="仿宋_GB2312" w:cs="仿宋_GB2312" w:hint="eastAsia"/>
          <w:bCs/>
          <w:szCs w:val="32"/>
        </w:rPr>
        <w:t>，重点建设东山5县非常规天然气开发与综合利用基地，进一步扩大寿阳区块、昔阳矿区寺家庄矿、左权矿区等产能建设规模，着力打造“气出晋中”新格局。</w:t>
      </w:r>
      <w:r w:rsidRPr="009A1767">
        <w:rPr>
          <w:rFonts w:hAnsi="仿宋_GB2312" w:cs="仿宋_GB2312" w:hint="eastAsia"/>
          <w:bCs/>
          <w:szCs w:val="32"/>
        </w:rPr>
        <w:lastRenderedPageBreak/>
        <w:t>到2025年，全市煤成气产能达到30亿立方米。推动上下游关联产业集群发展，大力推动煤成气抽采、集输、压缩、液化、装备制造、化工利用等产业发展，实现煤成气产业集约、高效、高端化发展。</w:t>
      </w:r>
    </w:p>
    <w:p w14:paraId="516A0E1E" w14:textId="6EA03359" w:rsidR="0017437C" w:rsidRPr="009A1767" w:rsidRDefault="0053037A">
      <w:pPr>
        <w:ind w:firstLine="640"/>
        <w:rPr>
          <w:rFonts w:hAnsi="仿宋_GB2312" w:cs="仿宋_GB2312"/>
          <w:bCs/>
          <w:szCs w:val="32"/>
        </w:rPr>
      </w:pPr>
      <w:r w:rsidRPr="009A1767">
        <w:rPr>
          <w:rFonts w:hAnsi="仿宋_GB2312" w:cs="仿宋_GB2312" w:hint="eastAsia"/>
          <w:szCs w:val="32"/>
        </w:rPr>
        <w:t>推动新能源产业持续壮大。</w:t>
      </w:r>
      <w:r w:rsidRPr="009A1767">
        <w:rPr>
          <w:rFonts w:hAnsi="仿宋_GB2312" w:cs="仿宋_GB2312" w:hint="eastAsia"/>
          <w:bCs/>
          <w:szCs w:val="32"/>
        </w:rPr>
        <w:t>因地制宜发展光伏、风电、生物质能等清洁能源和可再生能源产业</w:t>
      </w:r>
      <w:r w:rsidR="00C2559D">
        <w:rPr>
          <w:rFonts w:hAnsi="仿宋_GB2312" w:cs="仿宋_GB2312" w:hint="eastAsia"/>
          <w:bCs/>
          <w:szCs w:val="32"/>
        </w:rPr>
        <w:t>，</w:t>
      </w:r>
      <w:r w:rsidRPr="009A1767">
        <w:rPr>
          <w:rFonts w:hAnsi="仿宋_GB2312" w:cs="仿宋_GB2312" w:hint="eastAsia"/>
          <w:bCs/>
          <w:szCs w:val="32"/>
        </w:rPr>
        <w:t>推进一批风电项目、光伏发电项目落地建设，同时做好新能源项目储备，积极争取推动一批可再生能源发电项目。到2025年，力争全市新能源装机容量翻番，占比达到40%。有序推进生物质开发利用，推动农业、牧业副产品向下游发展，形成秸秆、畜禽、餐厨制生物质天然气、肥料全产业链发展。积极开展生物质能源综合利用项目试点，推进生物质能热电联产。建设智慧能源系统，发展抽水蓄能项目，推动多能互补能源转型，打造绿色能源示范市。</w:t>
      </w:r>
    </w:p>
    <w:p w14:paraId="6CAC819E" w14:textId="32532613" w:rsidR="0017437C" w:rsidRPr="009A1767" w:rsidRDefault="0053037A">
      <w:pPr>
        <w:ind w:firstLine="640"/>
        <w:rPr>
          <w:rFonts w:hAnsi="仿宋_GB2312" w:cs="仿宋_GB2312"/>
          <w:szCs w:val="32"/>
        </w:rPr>
      </w:pPr>
      <w:r w:rsidRPr="009A1767">
        <w:rPr>
          <w:rFonts w:hAnsi="仿宋_GB2312" w:cs="仿宋_GB2312" w:hint="eastAsia"/>
          <w:bCs/>
          <w:szCs w:val="32"/>
        </w:rPr>
        <w:t>提高清洁取暖覆盖率。</w:t>
      </w:r>
      <w:r w:rsidRPr="009A1767">
        <w:rPr>
          <w:rFonts w:hAnsi="仿宋_GB2312" w:cs="仿宋_GB2312" w:hint="eastAsia"/>
          <w:szCs w:val="32"/>
        </w:rPr>
        <w:t>巩固清洁取暖既有成效，做好清洁取暖补贴政策延续和宣传。继续扩大清洁取暖覆盖范围，在建成区、城乡结合部清洁取暖全覆盖的基础上向城市周边地区延伸。重点推动榆次区、太谷区、祁县、平遥县、介休市、灵石县、寿阳县实施以热电联产、工业余热集中供热为主的清洁取暖改造工程。</w:t>
      </w:r>
    </w:p>
    <w:p w14:paraId="30F579BE" w14:textId="77777777" w:rsidR="0017437C" w:rsidRPr="009A1767" w:rsidRDefault="0053037A">
      <w:pPr>
        <w:ind w:firstLine="640"/>
        <w:rPr>
          <w:rFonts w:hAnsi="仿宋" w:cs="仿宋_GB2312"/>
          <w:szCs w:val="32"/>
        </w:rPr>
      </w:pPr>
      <w:r w:rsidRPr="009A1767">
        <w:rPr>
          <w:rFonts w:hAnsi="仿宋" w:cs="仿宋_GB2312" w:hint="eastAsia"/>
          <w:color w:val="0000FF"/>
          <w:szCs w:val="32"/>
          <w:u w:val="single"/>
        </w:rPr>
        <w:t>3</w:t>
      </w:r>
      <w:r w:rsidRPr="009A1767">
        <w:rPr>
          <w:rFonts w:hAnsi="仿宋" w:cs="仿宋_GB2312"/>
          <w:color w:val="0000FF"/>
          <w:szCs w:val="32"/>
          <w:u w:val="single"/>
        </w:rPr>
        <w:t>.</w:t>
      </w:r>
      <w:r w:rsidRPr="009A1767">
        <w:rPr>
          <w:rFonts w:hAnsi="仿宋" w:cs="仿宋_GB2312" w:hint="eastAsia"/>
          <w:szCs w:val="32"/>
        </w:rPr>
        <w:t>着力构建绿色生产方式。</w:t>
      </w:r>
    </w:p>
    <w:p w14:paraId="544C44DD" w14:textId="3AE87714" w:rsidR="0017437C" w:rsidRPr="009A1767" w:rsidRDefault="0053037A">
      <w:pPr>
        <w:ind w:firstLine="640"/>
        <w:rPr>
          <w:szCs w:val="32"/>
        </w:rPr>
      </w:pPr>
      <w:r w:rsidRPr="009A1767">
        <w:rPr>
          <w:rFonts w:hint="eastAsia"/>
          <w:bCs/>
          <w:szCs w:val="32"/>
        </w:rPr>
        <w:lastRenderedPageBreak/>
        <w:t>建立健全生态经济体系。</w:t>
      </w:r>
      <w:r w:rsidRPr="009A1767">
        <w:rPr>
          <w:rFonts w:hint="eastAsia"/>
          <w:szCs w:val="32"/>
        </w:rPr>
        <w:t>构建以产业生态化和生态产业化为主体的生态经济体系，推动生态优势变成经济优势。壮大绿色产业规模，大力发展节能环保、清洁能源产业，建设现代化生态产业体系。以市场化为导向，推进绿色技术创新，发展绿色金融。加强企业绿色化升级改造，开展绿色设计示范企业、绿色示范园区、绿色示范工厂试点建设，打造绿色制造体系。</w:t>
      </w:r>
    </w:p>
    <w:p w14:paraId="0CFAC022" w14:textId="77777777" w:rsidR="0017437C" w:rsidRPr="009A1767" w:rsidRDefault="0053037A">
      <w:pPr>
        <w:ind w:firstLine="640"/>
        <w:rPr>
          <w:szCs w:val="32"/>
        </w:rPr>
      </w:pPr>
      <w:r w:rsidRPr="009A1767">
        <w:rPr>
          <w:rFonts w:hint="eastAsia"/>
          <w:bCs/>
          <w:szCs w:val="32"/>
        </w:rPr>
        <w:t>开展节能降碳增效行动。</w:t>
      </w:r>
      <w:r w:rsidRPr="009A1767">
        <w:rPr>
          <w:rFonts w:hint="eastAsia"/>
          <w:szCs w:val="32"/>
        </w:rPr>
        <w:t>严格实施能源消费强度和总量双控制度，压实各领域各行业节能监督管理工作，推动全社会节能降耗。健全节能标准体系，实现重点用能行业、设备节能标准全覆盖。加强工业节能管理，开展节能诊断服务，深挖企业节能潜力，持续提高能效。引导鼓励工业企业实施节能技改，技术工艺设备能效提升等活动。推进交通节能，加快构建绿色公共交通体系，稳妥推进建成区环卫、快递、出租、轻型物流配送车辆等使用新能源或清洁能源汽车。全面实施绿色建筑，加大绿色建筑示范区建设，开展建筑能效提升工程，推进既有建筑节能改造，推动装配式建筑发展。开展能效标识监督检查，加强能效标识法律法规的宣传。</w:t>
      </w:r>
    </w:p>
    <w:p w14:paraId="0AA996C5" w14:textId="77777777" w:rsidR="0017437C" w:rsidRPr="009A1767" w:rsidRDefault="0053037A">
      <w:pPr>
        <w:ind w:firstLine="640"/>
        <w:rPr>
          <w:szCs w:val="32"/>
        </w:rPr>
      </w:pPr>
      <w:r w:rsidRPr="009A1767">
        <w:rPr>
          <w:rFonts w:hint="eastAsia"/>
          <w:bCs/>
          <w:szCs w:val="32"/>
        </w:rPr>
        <w:t>发展绿色低碳循环经济。</w:t>
      </w:r>
      <w:r w:rsidRPr="009A1767">
        <w:rPr>
          <w:rFonts w:hint="eastAsia"/>
          <w:szCs w:val="32"/>
        </w:rPr>
        <w:t>强化循环经济产业链延伸、资源分类循环使用、能源梯级利用、污染集中治理，加快建立循环型产业体系。推进产业园区循环化改造，</w:t>
      </w:r>
      <w:r w:rsidRPr="009A1767">
        <w:rPr>
          <w:rFonts w:hint="eastAsia"/>
          <w:shd w:val="clear" w:color="auto" w:fill="FFFFFF"/>
        </w:rPr>
        <w:t>促进废物综合</w:t>
      </w:r>
      <w:r w:rsidRPr="009A1767">
        <w:rPr>
          <w:rFonts w:hint="eastAsia"/>
          <w:shd w:val="clear" w:color="auto" w:fill="FFFFFF"/>
        </w:rPr>
        <w:lastRenderedPageBreak/>
        <w:t>利用、水资源循环利用，推进工业余压余热、废气废液废渣资源化利用，积极推广集中供气供热。搭建基础设施和公共服务共享平台，加强园区物质流管理。</w:t>
      </w:r>
      <w:r w:rsidRPr="009A1767">
        <w:rPr>
          <w:rFonts w:hint="eastAsia"/>
          <w:szCs w:val="32"/>
        </w:rPr>
        <w:t>鼓励和支持低碳技术创新，建立低碳技术推广目录，实施近零碳排放示范工程，推动新兴低碳产业发展。</w:t>
      </w:r>
      <w:r w:rsidRPr="009A1767">
        <w:rPr>
          <w:szCs w:val="32"/>
        </w:rPr>
        <w:t>持续推进传统产业绿色低碳升级改造，</w:t>
      </w:r>
      <w:r w:rsidRPr="009A1767">
        <w:rPr>
          <w:rFonts w:hAnsi="微软雅黑" w:cs="宋体" w:hint="eastAsia"/>
          <w:kern w:val="0"/>
          <w:szCs w:val="32"/>
        </w:rPr>
        <w:t>协同控制温室气体与污染物排放，在电力、钢铁、化工等行业试点开展减污降碳协同治理。</w:t>
      </w:r>
    </w:p>
    <w:p w14:paraId="2709C2CF" w14:textId="440B6989" w:rsidR="0017437C" w:rsidRPr="009A1767" w:rsidRDefault="0053037A">
      <w:pPr>
        <w:ind w:firstLine="640"/>
        <w:rPr>
          <w:szCs w:val="32"/>
        </w:rPr>
      </w:pPr>
      <w:r w:rsidRPr="009A1767">
        <w:rPr>
          <w:rFonts w:hint="eastAsia"/>
          <w:bCs/>
          <w:szCs w:val="32"/>
        </w:rPr>
        <w:t>推动资源集约节约利用。</w:t>
      </w:r>
      <w:r w:rsidR="006D11D9" w:rsidRPr="00BB2AC4">
        <w:rPr>
          <w:rFonts w:hint="eastAsia"/>
          <w:szCs w:val="32"/>
        </w:rPr>
        <w:t>全面建立资源高效利用制度，健全资源节约集约循环利用政策体系</w:t>
      </w:r>
      <w:r w:rsidR="00E52B0F">
        <w:rPr>
          <w:rFonts w:hint="eastAsia"/>
          <w:szCs w:val="32"/>
        </w:rPr>
        <w:t>。</w:t>
      </w:r>
      <w:r w:rsidR="006D11D9" w:rsidRPr="00BB2AC4">
        <w:rPr>
          <w:rFonts w:hint="eastAsia"/>
          <w:szCs w:val="32"/>
        </w:rPr>
        <w:t>落实水资源刚性约束和“四水四定”要求，加快“五水综改”步伐，建立完善市场化治水节水机制。推动建设固废综合利用、垃圾无害化处理等通用性公共服务设施，强化建筑垃圾治理和资源化利用。积极推进生活垃圾分类处理试点建设，实施餐厨废弃物无害化处理、资源化利用和生活垃圾焚烧发电，实现生活垃圾零填埋。</w:t>
      </w:r>
    </w:p>
    <w:p w14:paraId="3C833E5D" w14:textId="43E420CB" w:rsidR="0017437C" w:rsidRPr="009A1767" w:rsidRDefault="0053037A">
      <w:pPr>
        <w:ind w:firstLine="640"/>
        <w:rPr>
          <w:rFonts w:hAnsi="仿宋" w:cs="仿宋_GB2312"/>
          <w:szCs w:val="32"/>
        </w:rPr>
      </w:pPr>
      <w:r w:rsidRPr="009A1767">
        <w:rPr>
          <w:rFonts w:hAnsi="仿宋" w:cs="仿宋_GB2312" w:hint="eastAsia"/>
          <w:color w:val="0000FF"/>
          <w:szCs w:val="32"/>
          <w:u w:val="single"/>
        </w:rPr>
        <w:t>4</w:t>
      </w:r>
      <w:r w:rsidRPr="009A1767">
        <w:rPr>
          <w:rFonts w:hAnsi="仿宋" w:cs="仿宋_GB2312"/>
          <w:color w:val="0000FF"/>
          <w:szCs w:val="32"/>
          <w:u w:val="single"/>
        </w:rPr>
        <w:t>.</w:t>
      </w:r>
      <w:r w:rsidRPr="009A1767">
        <w:rPr>
          <w:rFonts w:hAnsi="仿宋" w:cs="仿宋_GB2312" w:hint="eastAsia"/>
          <w:szCs w:val="32"/>
        </w:rPr>
        <w:t>主动有序适应气候变化</w:t>
      </w:r>
      <w:r w:rsidR="00C2559D">
        <w:rPr>
          <w:rFonts w:hAnsi="仿宋" w:cs="仿宋_GB2312" w:hint="eastAsia"/>
          <w:szCs w:val="32"/>
        </w:rPr>
        <w:t>。</w:t>
      </w:r>
    </w:p>
    <w:p w14:paraId="11FC5459" w14:textId="77777777" w:rsidR="0017437C" w:rsidRPr="009A1767" w:rsidRDefault="0053037A">
      <w:pPr>
        <w:ind w:firstLine="640"/>
        <w:rPr>
          <w:szCs w:val="30"/>
        </w:rPr>
      </w:pPr>
      <w:r w:rsidRPr="009A1767">
        <w:rPr>
          <w:rFonts w:hint="eastAsia"/>
          <w:bCs/>
          <w:szCs w:val="30"/>
        </w:rPr>
        <w:t>构建适应气候变化工作新格局。</w:t>
      </w:r>
      <w:r w:rsidRPr="009A1767">
        <w:rPr>
          <w:rFonts w:hint="eastAsia"/>
          <w:szCs w:val="30"/>
        </w:rPr>
        <w:t>落实适应气候变化国家战略,在农业、林业、水资源、基础设施等重点领域及城市、生态脆弱地区积极开展适应气候变化行动。积极打造“零碳”机关、“零碳”社区、“零碳”村庄、“零碳”乡镇（街道）、“零碳”示范县等多层级应对气候变化试点体系。</w:t>
      </w:r>
    </w:p>
    <w:p w14:paraId="183C96A7" w14:textId="77777777" w:rsidR="0017437C" w:rsidRPr="009A1767" w:rsidRDefault="0053037A">
      <w:pPr>
        <w:ind w:firstLine="640"/>
        <w:rPr>
          <w:szCs w:val="30"/>
        </w:rPr>
      </w:pPr>
      <w:r w:rsidRPr="009A1767">
        <w:rPr>
          <w:rFonts w:hint="eastAsia"/>
          <w:bCs/>
          <w:szCs w:val="30"/>
        </w:rPr>
        <w:lastRenderedPageBreak/>
        <w:t>提升城乡适应气候变化能力。</w:t>
      </w:r>
      <w:r w:rsidRPr="009A1767">
        <w:rPr>
          <w:rFonts w:hint="eastAsia"/>
          <w:szCs w:val="30"/>
        </w:rPr>
        <w:t>抓好城市基础设施建设，提高城市基础设施的建设标准和抗灾等级，</w:t>
      </w:r>
      <w:r w:rsidRPr="009A1767">
        <w:rPr>
          <w:kern w:val="0"/>
          <w:szCs w:val="32"/>
        </w:rPr>
        <w:t>强化市政、水利、交通、能源等基础设施气候韧性，</w:t>
      </w:r>
      <w:r w:rsidRPr="009A1767">
        <w:rPr>
          <w:rFonts w:hint="eastAsia"/>
          <w:szCs w:val="30"/>
        </w:rPr>
        <w:t>提升城乡建设、农业生产、基础设施适应气候变化能力。</w:t>
      </w:r>
      <w:r w:rsidRPr="009A1767">
        <w:rPr>
          <w:szCs w:val="32"/>
        </w:rPr>
        <w:t>积极应对热岛效应和城市内涝，深入推进海绵城市建设，</w:t>
      </w:r>
      <w:r w:rsidRPr="009A1767">
        <w:rPr>
          <w:rFonts w:hint="eastAsia"/>
          <w:szCs w:val="30"/>
        </w:rPr>
        <w:t>加强集蓄雨水资源化利用设施建设。</w:t>
      </w:r>
    </w:p>
    <w:p w14:paraId="676C409C" w14:textId="77777777" w:rsidR="0017437C" w:rsidRPr="009A1767" w:rsidRDefault="0053037A">
      <w:pPr>
        <w:ind w:firstLine="640"/>
        <w:rPr>
          <w:szCs w:val="30"/>
        </w:rPr>
      </w:pPr>
      <w:r w:rsidRPr="009A1767">
        <w:rPr>
          <w:rFonts w:hint="eastAsia"/>
          <w:bCs/>
          <w:szCs w:val="30"/>
        </w:rPr>
        <w:t>加强气候变化风险评估与应对。</w:t>
      </w:r>
      <w:r w:rsidRPr="009A1767">
        <w:rPr>
          <w:rFonts w:hint="eastAsia"/>
          <w:szCs w:val="30"/>
        </w:rPr>
        <w:t>开展气候变化风险评估,识别气候变化对敏感区水资源保障、粮食生产、城乡环境、生命健康、生态安全及重大工程的影响。完善防灾减灾及风险应对机制，提升风险应对能力。增强农业抗御自然风险能力,提高农业生产适应气候变化能力。统筹提升城乡极端气候事件监测预警、防灾减灾综合评估和风险管控能力，制定应对和防范措施。</w:t>
      </w:r>
    </w:p>
    <w:p w14:paraId="3EF78680" w14:textId="77777777" w:rsidR="0017437C" w:rsidRPr="009A1767" w:rsidRDefault="0053037A">
      <w:pPr>
        <w:ind w:firstLine="640"/>
        <w:rPr>
          <w:szCs w:val="30"/>
        </w:rPr>
      </w:pPr>
      <w:r w:rsidRPr="009A1767">
        <w:rPr>
          <w:bCs/>
          <w:szCs w:val="30"/>
        </w:rPr>
        <w:t>强化陆地生态系统碳汇建设。</w:t>
      </w:r>
      <w:r w:rsidRPr="009A1767">
        <w:rPr>
          <w:szCs w:val="30"/>
        </w:rPr>
        <w:t>协同推进生物多样性保护、山水林田湖草系统治理等相关工作，</w:t>
      </w:r>
      <w:r w:rsidRPr="009A1767">
        <w:rPr>
          <w:rFonts w:hint="eastAsia"/>
          <w:szCs w:val="32"/>
        </w:rPr>
        <w:t>大力开展造林绿化，鼓励全民义务植树，着力推进生态景观林带、森林围城、乡村绿化美化等工程建设，着力增加生态系统碳汇。</w:t>
      </w:r>
      <w:r w:rsidRPr="009A1767">
        <w:rPr>
          <w:szCs w:val="30"/>
        </w:rPr>
        <w:t>推进农业提质增效，大力推进农业生态技术、绿色技术和增汇型技术研发和推广应用，实现产业健康持续发展</w:t>
      </w:r>
      <w:r w:rsidRPr="009A1767">
        <w:rPr>
          <w:rFonts w:hint="eastAsia"/>
          <w:szCs w:val="30"/>
        </w:rPr>
        <w:t>，</w:t>
      </w:r>
      <w:r w:rsidRPr="009A1767">
        <w:rPr>
          <w:szCs w:val="30"/>
        </w:rPr>
        <w:t>不断提升生态农业碳汇</w:t>
      </w:r>
      <w:r w:rsidRPr="009A1767">
        <w:rPr>
          <w:rFonts w:hint="eastAsia"/>
          <w:szCs w:val="30"/>
        </w:rPr>
        <w:t>。</w:t>
      </w:r>
    </w:p>
    <w:p w14:paraId="38EFB092" w14:textId="77777777" w:rsidR="0017437C" w:rsidRPr="009A1767" w:rsidRDefault="0053037A">
      <w:pPr>
        <w:ind w:firstLine="640"/>
        <w:rPr>
          <w:rFonts w:ascii="楷体" w:eastAsia="楷体" w:hAnsi="楷体"/>
          <w:color w:val="0000FF"/>
          <w:szCs w:val="30"/>
          <w:u w:val="single"/>
        </w:rPr>
      </w:pPr>
      <w:r w:rsidRPr="009A1767">
        <w:rPr>
          <w:rFonts w:ascii="楷体" w:eastAsia="楷体" w:hAnsi="楷体" w:hint="eastAsia"/>
          <w:color w:val="0000FF"/>
          <w:szCs w:val="30"/>
          <w:u w:val="single"/>
        </w:rPr>
        <w:t>（三）坚持综合治理，巩固提升环境空气质量。</w:t>
      </w:r>
    </w:p>
    <w:p w14:paraId="5E55A33C" w14:textId="77777777" w:rsidR="0017437C" w:rsidRPr="009A1767" w:rsidRDefault="0053037A">
      <w:pPr>
        <w:ind w:firstLine="640"/>
        <w:rPr>
          <w:szCs w:val="30"/>
        </w:rPr>
      </w:pPr>
      <w:r w:rsidRPr="009A1767">
        <w:rPr>
          <w:rFonts w:hint="eastAsia"/>
          <w:color w:val="0000FF"/>
          <w:szCs w:val="30"/>
          <w:u w:val="single"/>
        </w:rPr>
        <w:t>1</w:t>
      </w:r>
      <w:r w:rsidRPr="009A1767">
        <w:rPr>
          <w:color w:val="0000FF"/>
          <w:szCs w:val="30"/>
          <w:u w:val="single"/>
        </w:rPr>
        <w:t>.</w:t>
      </w:r>
      <w:r w:rsidRPr="009A1767">
        <w:rPr>
          <w:rFonts w:hint="eastAsia"/>
          <w:szCs w:val="30"/>
        </w:rPr>
        <w:t>加强PM</w:t>
      </w:r>
      <w:r w:rsidRPr="009A1767">
        <w:rPr>
          <w:rFonts w:hint="eastAsia"/>
          <w:szCs w:val="30"/>
          <w:vertAlign w:val="subscript"/>
        </w:rPr>
        <w:t>2.5</w:t>
      </w:r>
      <w:r w:rsidRPr="009A1767">
        <w:rPr>
          <w:rFonts w:hint="eastAsia"/>
          <w:szCs w:val="30"/>
        </w:rPr>
        <w:t>和O</w:t>
      </w:r>
      <w:r w:rsidRPr="009A1767">
        <w:rPr>
          <w:rFonts w:hint="eastAsia"/>
          <w:szCs w:val="30"/>
          <w:vertAlign w:val="subscript"/>
        </w:rPr>
        <w:t>3</w:t>
      </w:r>
      <w:r w:rsidRPr="009A1767">
        <w:rPr>
          <w:rFonts w:hint="eastAsia"/>
          <w:szCs w:val="30"/>
        </w:rPr>
        <w:t>协同控制。</w:t>
      </w:r>
    </w:p>
    <w:p w14:paraId="1664189B" w14:textId="77777777" w:rsidR="0017437C" w:rsidRPr="009A1767" w:rsidRDefault="0053037A">
      <w:pPr>
        <w:ind w:firstLine="640"/>
        <w:rPr>
          <w:rFonts w:hAnsi="仿宋_GB2312" w:cs="仿宋_GB2312"/>
          <w:b/>
          <w:bCs/>
          <w:szCs w:val="32"/>
        </w:rPr>
      </w:pPr>
      <w:r w:rsidRPr="009A1767">
        <w:rPr>
          <w:rFonts w:hAnsi="仿宋_GB2312" w:cs="仿宋_GB2312"/>
          <w:szCs w:val="32"/>
        </w:rPr>
        <w:lastRenderedPageBreak/>
        <w:t>深化</w:t>
      </w:r>
      <w:r w:rsidRPr="009A1767">
        <w:rPr>
          <w:rFonts w:hAnsi="仿宋_GB2312" w:cs="仿宋_GB2312" w:hint="eastAsia"/>
          <w:szCs w:val="32"/>
        </w:rPr>
        <w:t>VOCs综合整治。</w:t>
      </w:r>
      <w:r w:rsidRPr="009A1767">
        <w:rPr>
          <w:rFonts w:hAnsi="仿宋_GB2312" w:cs="仿宋_GB2312" w:hint="eastAsia"/>
          <w:bCs/>
          <w:szCs w:val="32"/>
        </w:rPr>
        <w:t>以工业涂装、包装印刷、人造板材、电子等行业为重点，推进使用低挥发性有机物含量的涂料、油墨、胶粘剂、清洗剂，除特殊功能要求外的室外构筑物防护和道路交通标志全面使用低挥发性有机物含量涂料。组织涉</w:t>
      </w:r>
      <w:r w:rsidRPr="009A1767">
        <w:rPr>
          <w:rFonts w:hAnsi="仿宋_GB2312" w:cs="仿宋_GB2312"/>
          <w:bCs/>
          <w:szCs w:val="32"/>
        </w:rPr>
        <w:t>VOCs重点</w:t>
      </w:r>
      <w:r w:rsidRPr="009A1767">
        <w:rPr>
          <w:rFonts w:hAnsi="仿宋_GB2312" w:cs="仿宋_GB2312" w:hint="eastAsia"/>
          <w:bCs/>
          <w:szCs w:val="32"/>
        </w:rPr>
        <w:t>企业针对挥发性有机液体储罐、装卸、敞开液面、泄漏检测与修复（LDAR）、废气收集、废气旁路、治理设施、加油站、非正常工况、产品挥发性有机物含量等关键环节持续开展排查整治，</w:t>
      </w:r>
      <w:r w:rsidRPr="009A1767">
        <w:rPr>
          <w:rFonts w:hAnsi="仿宋_GB2312" w:cs="仿宋_GB2312"/>
          <w:bCs/>
          <w:szCs w:val="32"/>
        </w:rPr>
        <w:t>清理整顿简易</w:t>
      </w:r>
      <w:r w:rsidRPr="009A1767">
        <w:rPr>
          <w:rFonts w:hAnsi="仿宋_GB2312" w:cs="仿宋_GB2312" w:hint="eastAsia"/>
          <w:bCs/>
          <w:szCs w:val="32"/>
        </w:rPr>
        <w:t>低效的</w:t>
      </w:r>
      <w:r w:rsidRPr="009A1767">
        <w:rPr>
          <w:rFonts w:hAnsi="仿宋_GB2312" w:cs="仿宋_GB2312"/>
          <w:bCs/>
          <w:szCs w:val="32"/>
        </w:rPr>
        <w:t>VOCs治理设施</w:t>
      </w:r>
      <w:r w:rsidRPr="009A1767">
        <w:rPr>
          <w:rFonts w:hAnsi="仿宋_GB2312" w:cs="仿宋_GB2312" w:hint="eastAsia"/>
          <w:bCs/>
          <w:szCs w:val="32"/>
        </w:rPr>
        <w:t>，</w:t>
      </w:r>
      <w:r w:rsidRPr="009A1767">
        <w:rPr>
          <w:rFonts w:hAnsi="仿宋_GB2312" w:cs="仿宋_GB2312"/>
          <w:bCs/>
          <w:szCs w:val="32"/>
        </w:rPr>
        <w:t>全面梳理VOCs治理设施台账</w:t>
      </w:r>
      <w:r w:rsidRPr="009A1767">
        <w:rPr>
          <w:rFonts w:hAnsi="仿宋_GB2312" w:cs="仿宋_GB2312" w:hint="eastAsia"/>
          <w:bCs/>
          <w:szCs w:val="32"/>
        </w:rPr>
        <w:t>，</w:t>
      </w:r>
      <w:r w:rsidRPr="009A1767">
        <w:rPr>
          <w:rFonts w:hAnsi="仿宋_GB2312" w:cs="仿宋_GB2312"/>
          <w:bCs/>
          <w:szCs w:val="32"/>
        </w:rPr>
        <w:t>对采用单一治理技术且无法稳定达标的要加快推进升级改造</w:t>
      </w:r>
      <w:r w:rsidRPr="009A1767">
        <w:rPr>
          <w:rFonts w:hAnsi="仿宋_GB2312" w:cs="仿宋_GB2312" w:hint="eastAsia"/>
          <w:bCs/>
          <w:szCs w:val="32"/>
        </w:rPr>
        <w:t>。推进涉VOCs产业集群整治提升，因地制宜推广建设涉VOCs“绿岛”项目，鼓励具备条件的工业园区、工业集聚区建设涉VOCs产业的集中涂装中心、吸附剂集中再生中心、有机溶剂集中回收处置中心，实现VOCs集中高效处理。扎实开展重点行业挥发性有机物专项执法检查，注重运用走航监测等手段，加大随机执法力度，提高监管效能，及时发现问题，督促整改到位。</w:t>
      </w:r>
    </w:p>
    <w:p w14:paraId="1910A3B0" w14:textId="6C41EBD7" w:rsidR="0017437C" w:rsidRPr="009A1767" w:rsidRDefault="0053037A">
      <w:pPr>
        <w:ind w:firstLine="640"/>
        <w:rPr>
          <w:rFonts w:hAnsi="仿宋_GB2312" w:cs="仿宋_GB2312"/>
          <w:bCs/>
          <w:szCs w:val="32"/>
        </w:rPr>
      </w:pPr>
      <w:r w:rsidRPr="009A1767">
        <w:rPr>
          <w:rFonts w:hAnsi="仿宋_GB2312" w:cs="仿宋_GB2312" w:hint="eastAsia"/>
          <w:szCs w:val="32"/>
        </w:rPr>
        <w:t>提升氮氧化物污染治理水平。</w:t>
      </w:r>
      <w:r w:rsidRPr="009A1767">
        <w:rPr>
          <w:rFonts w:hAnsi="仿宋_GB2312" w:cs="仿宋_GB2312" w:hint="eastAsia"/>
          <w:bCs/>
          <w:szCs w:val="32"/>
        </w:rPr>
        <w:t>实施低效脱硝设施排查整治。全面完成钢铁行业超低排放改造，持续巩固安泰集团、太钢万邦、汇钰机械铸造全流程超低排放改造成效，峰岩矿棉有限公司烧结、高炉复产前完成改造；启动焦化行业超低排放改造，2022年10月底前完成介休、太谷、左权5家企</w:t>
      </w:r>
      <w:r w:rsidRPr="009A1767">
        <w:rPr>
          <w:rFonts w:hAnsi="仿宋_GB2312" w:cs="仿宋_GB2312" w:hint="eastAsia"/>
          <w:bCs/>
          <w:szCs w:val="32"/>
        </w:rPr>
        <w:lastRenderedPageBreak/>
        <w:t>业总计500万吨焦化产能的超低排放改造，率先完成改造的企业尽快开展评估监测工作；实施水泥行业超低排放改造，2022年12月底前完成11家水泥企业的超低排放改造。实施工业炉窑和锅炉提标改造。生物质锅炉氮氧化物排放浓度无法稳定达标的，加装高效脱硝设施；玻璃、铸造、石灰等行业炉窑，对标实施除尘脱硫脱硝提标改造。</w:t>
      </w:r>
    </w:p>
    <w:p w14:paraId="2E646550" w14:textId="6CEA0258" w:rsidR="0017437C" w:rsidRPr="009A1767" w:rsidRDefault="0053037A">
      <w:pPr>
        <w:ind w:firstLine="640"/>
        <w:rPr>
          <w:szCs w:val="30"/>
        </w:rPr>
      </w:pPr>
      <w:r w:rsidRPr="009A1767">
        <w:rPr>
          <w:rFonts w:hAnsi="仿宋_GB2312" w:cs="仿宋_GB2312"/>
          <w:szCs w:val="32"/>
        </w:rPr>
        <w:t>精准防控臭氧污染</w:t>
      </w:r>
      <w:r w:rsidRPr="009A1767">
        <w:rPr>
          <w:rFonts w:hAnsi="仿宋_GB2312" w:cs="仿宋_GB2312" w:hint="eastAsia"/>
          <w:szCs w:val="32"/>
        </w:rPr>
        <w:t>。</w:t>
      </w:r>
      <w:r w:rsidRPr="009A1767">
        <w:rPr>
          <w:rFonts w:hAnsi="仿宋_GB2312" w:cs="仿宋_GB2312" w:hint="eastAsia"/>
          <w:bCs/>
          <w:szCs w:val="32"/>
        </w:rPr>
        <w:t>开展臭氧来源解析、生成机理、传输规律的研究，加快高效VOCs治理、低温脱硝、氨逃逸精准调控等技术和装备的推广应用。</w:t>
      </w:r>
      <w:r w:rsidR="00E52B0F" w:rsidRPr="00BB2AC4">
        <w:rPr>
          <w:rFonts w:hAnsi="仿宋_GB2312" w:cs="仿宋_GB2312" w:hint="eastAsia"/>
          <w:bCs/>
          <w:szCs w:val="32"/>
        </w:rPr>
        <w:t>鼓励增加泄漏监测与修复频次</w:t>
      </w:r>
      <w:r w:rsidR="00E52B0F">
        <w:rPr>
          <w:rFonts w:hAnsi="仿宋_GB2312" w:cs="仿宋_GB2312" w:hint="eastAsia"/>
          <w:bCs/>
          <w:szCs w:val="32"/>
        </w:rPr>
        <w:t>，</w:t>
      </w:r>
      <w:r w:rsidRPr="009A1767">
        <w:rPr>
          <w:rFonts w:hAnsi="仿宋_GB2312" w:cs="仿宋_GB2312" w:hint="eastAsia"/>
          <w:bCs/>
          <w:szCs w:val="32"/>
        </w:rPr>
        <w:t>鼓励企业和市政中涉VOCs排放作业实施精细化管理。</w:t>
      </w:r>
    </w:p>
    <w:p w14:paraId="5C8F87C0" w14:textId="77777777" w:rsidR="0017437C" w:rsidRPr="009A1767" w:rsidRDefault="0053037A">
      <w:pPr>
        <w:ind w:firstLine="640"/>
        <w:rPr>
          <w:szCs w:val="30"/>
        </w:rPr>
      </w:pPr>
      <w:r w:rsidRPr="009A1767">
        <w:rPr>
          <w:rFonts w:hint="eastAsia"/>
          <w:color w:val="0000FF"/>
          <w:szCs w:val="30"/>
          <w:u w:val="single"/>
        </w:rPr>
        <w:t>2</w:t>
      </w:r>
      <w:r w:rsidRPr="009A1767">
        <w:rPr>
          <w:color w:val="0000FF"/>
          <w:szCs w:val="30"/>
          <w:u w:val="single"/>
        </w:rPr>
        <w:t>.</w:t>
      </w:r>
      <w:r w:rsidRPr="009A1767">
        <w:rPr>
          <w:rFonts w:hint="eastAsia"/>
          <w:szCs w:val="30"/>
        </w:rPr>
        <w:t>深化柴油货车污染治理。</w:t>
      </w:r>
    </w:p>
    <w:p w14:paraId="0957BADA" w14:textId="13B4E2D0" w:rsidR="0017437C" w:rsidRPr="009A1767" w:rsidRDefault="0053037A">
      <w:pPr>
        <w:ind w:firstLine="640"/>
        <w:rPr>
          <w:rFonts w:hAnsi="仿宋_GB2312" w:cs="仿宋_GB2312"/>
          <w:szCs w:val="32"/>
        </w:rPr>
      </w:pPr>
      <w:r w:rsidRPr="009A1767">
        <w:rPr>
          <w:rFonts w:hAnsi="仿宋_GB2312" w:cs="仿宋_GB2312" w:hint="eastAsia"/>
          <w:bCs/>
          <w:szCs w:val="32"/>
        </w:rPr>
        <w:t>提升铁路运输能力。</w:t>
      </w:r>
      <w:r w:rsidRPr="009A1767">
        <w:rPr>
          <w:rFonts w:hAnsi="仿宋_GB2312" w:cs="仿宋_GB2312" w:hint="eastAsia"/>
          <w:szCs w:val="32"/>
        </w:rPr>
        <w:t>加快推进灵石两渡产业园、段纯产业园“公转铁”项目。基于“1+30”联防联控机制，积极推动与太原及周边城市建立交通运输“公转铁”协作。优化铁路运输组织，优先保障煤炭、焦炭、矿石、钢铁等大宗货物运力供给，完善铁路专用线共建共用机制。年货运量150万吨及以上的工业企业，原则上全部修建铁路专用线；在完成铁路专用线建设前，涉及公路运输的车辆2021年必须达到国五及以上标准，2022年起达到国六标准车辆或新能源车辆（包括甲醇车辆）。</w:t>
      </w:r>
    </w:p>
    <w:p w14:paraId="05A7F878" w14:textId="77777777" w:rsidR="0017437C" w:rsidRPr="009A1767" w:rsidRDefault="0053037A">
      <w:pPr>
        <w:ind w:firstLine="640"/>
        <w:rPr>
          <w:rFonts w:hAnsi="仿宋_GB2312" w:cs="仿宋_GB2312"/>
          <w:szCs w:val="32"/>
        </w:rPr>
      </w:pPr>
      <w:r w:rsidRPr="009A1767">
        <w:rPr>
          <w:rFonts w:hAnsi="仿宋_GB2312" w:cs="仿宋_GB2312" w:hint="eastAsia"/>
          <w:bCs/>
          <w:szCs w:val="32"/>
        </w:rPr>
        <w:t>推进公路货运升级。</w:t>
      </w:r>
      <w:r w:rsidRPr="009A1767">
        <w:rPr>
          <w:rFonts w:hAnsi="仿宋_GB2312" w:cs="仿宋_GB2312" w:hint="eastAsia"/>
          <w:szCs w:val="32"/>
        </w:rPr>
        <w:t>建立涵盖运输方式、运输组织模式、</w:t>
      </w:r>
      <w:r w:rsidRPr="009A1767">
        <w:rPr>
          <w:rFonts w:hAnsi="仿宋_GB2312" w:cs="仿宋_GB2312" w:hint="eastAsia"/>
          <w:szCs w:val="32"/>
        </w:rPr>
        <w:lastRenderedPageBreak/>
        <w:t>运输效率以及新能源车占比等指标的绿色车队评价体系。建立排放检测与强制维护制度(I/M制度)，全面淘汰国三及以下排放标准柴油货车，推动国四及以下排放标准柴油货车和采用稀薄燃烧技术的燃气货车淘汰工作。</w:t>
      </w:r>
    </w:p>
    <w:p w14:paraId="17F3BAB6" w14:textId="77777777" w:rsidR="0017437C" w:rsidRPr="009A1767" w:rsidRDefault="0053037A">
      <w:pPr>
        <w:ind w:firstLine="640"/>
        <w:rPr>
          <w:rFonts w:hAnsi="仿宋_GB2312" w:cs="仿宋_GB2312"/>
          <w:szCs w:val="32"/>
        </w:rPr>
      </w:pPr>
      <w:r w:rsidRPr="009A1767">
        <w:rPr>
          <w:rFonts w:hAnsi="仿宋_GB2312" w:cs="仿宋_GB2312"/>
          <w:bCs/>
          <w:szCs w:val="32"/>
        </w:rPr>
        <w:t>推广</w:t>
      </w:r>
      <w:r w:rsidRPr="009A1767">
        <w:rPr>
          <w:rFonts w:hAnsi="仿宋_GB2312" w:cs="仿宋_GB2312" w:hint="eastAsia"/>
          <w:bCs/>
          <w:szCs w:val="32"/>
        </w:rPr>
        <w:t>新</w:t>
      </w:r>
      <w:r w:rsidRPr="009A1767">
        <w:rPr>
          <w:rFonts w:hAnsi="仿宋_GB2312" w:cs="仿宋_GB2312"/>
          <w:bCs/>
          <w:szCs w:val="32"/>
        </w:rPr>
        <w:t>能源</w:t>
      </w:r>
      <w:r w:rsidRPr="009A1767">
        <w:rPr>
          <w:rFonts w:hAnsi="仿宋_GB2312" w:cs="仿宋_GB2312" w:hint="eastAsia"/>
          <w:bCs/>
          <w:szCs w:val="32"/>
        </w:rPr>
        <w:t>和清洁能源车辆。</w:t>
      </w:r>
      <w:r w:rsidRPr="009A1767">
        <w:rPr>
          <w:rFonts w:hAnsi="仿宋_GB2312" w:cs="仿宋_GB2312" w:hint="eastAsia"/>
          <w:szCs w:val="32"/>
        </w:rPr>
        <w:t>制定新能源车推广应用规划，以公交、环卫、邮政、出租、通勤、轻型物流配送等行业和政府机关公务车为突破口，推广使用新能源或清洁能源汽车。制定新能源汽车配套设施建设规划，完善充电站（桩）等配套基础设施的建设、运行和管理。加大甲醇汽车、混合动力汽车、电动汽车、氢能源汽车等推行力度。</w:t>
      </w:r>
    </w:p>
    <w:p w14:paraId="7C4E848C" w14:textId="77777777" w:rsidR="0017437C" w:rsidRPr="009A1767" w:rsidRDefault="0053037A">
      <w:pPr>
        <w:ind w:firstLine="640"/>
        <w:rPr>
          <w:rFonts w:hAnsi="仿宋_GB2312" w:cs="仿宋_GB2312"/>
          <w:szCs w:val="32"/>
        </w:rPr>
      </w:pPr>
      <w:r w:rsidRPr="009A1767">
        <w:rPr>
          <w:rFonts w:hAnsi="仿宋_GB2312" w:cs="仿宋_GB2312"/>
          <w:bCs/>
          <w:szCs w:val="32"/>
        </w:rPr>
        <w:t>统筹</w:t>
      </w:r>
      <w:r w:rsidRPr="009A1767">
        <w:rPr>
          <w:rFonts w:hAnsi="仿宋_GB2312" w:cs="仿宋_GB2312" w:hint="eastAsia"/>
          <w:bCs/>
          <w:szCs w:val="32"/>
        </w:rPr>
        <w:t>“油、路、车”治理。</w:t>
      </w:r>
      <w:r w:rsidRPr="009A1767">
        <w:rPr>
          <w:rFonts w:hAnsi="仿宋_GB2312" w:cs="仿宋_GB2312" w:hint="eastAsia"/>
          <w:szCs w:val="32"/>
        </w:rPr>
        <w:t>全面供应符合国六标准的车用汽柴油，禁止销售普通柴油和低于国六标准的车用汽柴油。禁止调和油组分以化工原料名义出售，禁止以化工原料勾兑调和油，严禁运输企业储存使用非标车用油品。加强对油品制售企业质量监督管理，开展打击黑加油站点专项行动，对黑加油站查处取缔工作进行督导，防止死灰复燃。</w:t>
      </w:r>
    </w:p>
    <w:p w14:paraId="6B3FE40B" w14:textId="77777777" w:rsidR="0017437C" w:rsidRPr="009A1767" w:rsidRDefault="0053037A">
      <w:pPr>
        <w:ind w:firstLine="640"/>
        <w:rPr>
          <w:szCs w:val="30"/>
        </w:rPr>
      </w:pPr>
      <w:r w:rsidRPr="009A1767">
        <w:rPr>
          <w:rFonts w:hAnsi="仿宋_GB2312" w:cs="仿宋_GB2312" w:hint="eastAsia"/>
          <w:bCs/>
          <w:szCs w:val="32"/>
        </w:rPr>
        <w:t>加强非道路移动机械污染防治。</w:t>
      </w:r>
      <w:r w:rsidRPr="009A1767">
        <w:rPr>
          <w:rFonts w:hAnsi="仿宋_GB2312" w:cs="仿宋_GB2312" w:hint="eastAsia"/>
          <w:szCs w:val="32"/>
        </w:rPr>
        <w:t>严把非道路移动机械排放源头关，加强对销售非道路移动机械企业的监督检查，所有销售的非道路移动机械必须达到国四排放标准。建立非道路移动机械使用登记备案制度。强化非道路移动机械监管，建立生态环境、住建、城乡管理、交通等部门联合执法机制，</w:t>
      </w:r>
      <w:r w:rsidRPr="009A1767">
        <w:rPr>
          <w:rFonts w:hAnsi="仿宋_GB2312" w:cs="仿宋_GB2312" w:hint="eastAsia"/>
          <w:szCs w:val="32"/>
        </w:rPr>
        <w:lastRenderedPageBreak/>
        <w:t>严厉查处在用非道路移动机械无编码登记或超标排放违法行为。</w:t>
      </w:r>
    </w:p>
    <w:p w14:paraId="0D1C7D80" w14:textId="77777777" w:rsidR="0017437C" w:rsidRPr="009A1767" w:rsidRDefault="0053037A">
      <w:pPr>
        <w:ind w:firstLine="640"/>
        <w:rPr>
          <w:szCs w:val="30"/>
        </w:rPr>
      </w:pPr>
      <w:r w:rsidRPr="009A1767">
        <w:rPr>
          <w:rFonts w:hint="eastAsia"/>
          <w:color w:val="0000FF"/>
          <w:szCs w:val="30"/>
          <w:u w:val="single"/>
        </w:rPr>
        <w:t>3</w:t>
      </w:r>
      <w:r w:rsidRPr="009A1767">
        <w:rPr>
          <w:color w:val="0000FF"/>
          <w:szCs w:val="30"/>
          <w:u w:val="single"/>
        </w:rPr>
        <w:t>.</w:t>
      </w:r>
      <w:r w:rsidRPr="009A1767">
        <w:rPr>
          <w:rFonts w:hint="eastAsia"/>
          <w:szCs w:val="30"/>
        </w:rPr>
        <w:t>加强重污染天气应对。</w:t>
      </w:r>
    </w:p>
    <w:p w14:paraId="19074296" w14:textId="77777777" w:rsidR="0017437C" w:rsidRPr="009A1767" w:rsidRDefault="0053037A">
      <w:pPr>
        <w:ind w:firstLine="640"/>
        <w:rPr>
          <w:rFonts w:hAnsi="仿宋_GB2312" w:cs="仿宋_GB2312"/>
          <w:szCs w:val="32"/>
        </w:rPr>
      </w:pPr>
      <w:r w:rsidRPr="009A1767">
        <w:rPr>
          <w:rFonts w:hAnsi="仿宋_GB2312" w:cs="仿宋_GB2312" w:hint="eastAsia"/>
          <w:bCs/>
          <w:szCs w:val="32"/>
        </w:rPr>
        <w:t>强化应急减排措施清单化管理。</w:t>
      </w:r>
      <w:r w:rsidRPr="009A1767">
        <w:rPr>
          <w:rFonts w:hAnsi="仿宋_GB2312" w:cs="仿宋_GB2312" w:hint="eastAsia"/>
          <w:szCs w:val="32"/>
        </w:rPr>
        <w:t>以钢铁、焦化、有色、铸造、化工、建材等高排放行业为重点，按照企业环保绩效水平、所在位置，实施秋冬季差异化错峰生产。错峰生产计划安排优先满足重污染天气应急减排基本要求，与重污染天气应急减排措施做好衔接。重污染天气重点行业实行绩效分级动态管理，对钢铁、焦化行业绩效A级企业指标进行优化调整，规范企业绩效分级申报、审核及调整工作。修订完善重污染天气应急减排清单，夯实“一企一策”应急减排措施，确保减排措施可操作、可监测、可核查。</w:t>
      </w:r>
    </w:p>
    <w:p w14:paraId="469238FA" w14:textId="77777777" w:rsidR="0017437C" w:rsidRPr="009A1767" w:rsidRDefault="0053037A">
      <w:pPr>
        <w:ind w:firstLine="640"/>
        <w:rPr>
          <w:rFonts w:hAnsi="仿宋_GB2312" w:cs="仿宋_GB2312"/>
          <w:szCs w:val="32"/>
        </w:rPr>
      </w:pPr>
      <w:r w:rsidRPr="009A1767">
        <w:rPr>
          <w:rFonts w:hAnsi="仿宋_GB2312" w:cs="仿宋_GB2312" w:hint="eastAsia"/>
          <w:bCs/>
          <w:szCs w:val="32"/>
        </w:rPr>
        <w:t>加强重污染天气监测预警体系建设。</w:t>
      </w:r>
      <w:r w:rsidRPr="009A1767">
        <w:rPr>
          <w:rFonts w:hAnsi="仿宋_GB2312" w:cs="仿宋_GB2312"/>
          <w:szCs w:val="32"/>
        </w:rPr>
        <w:t>健全环保、气象部门联合会商预报机制，实现环保、气象信息共享，在重污染天气时增加会商预报频次，做好重污染天气过程趋势分析。</w:t>
      </w:r>
      <w:r w:rsidRPr="009A1767">
        <w:rPr>
          <w:rFonts w:hAnsi="仿宋_GB2312" w:cs="仿宋_GB2312" w:hint="eastAsia"/>
          <w:szCs w:val="32"/>
        </w:rPr>
        <w:t>强化空气质量预测预报能力建设，提升环境气象服务能力，提高环境预报的精细化、准确度。</w:t>
      </w:r>
    </w:p>
    <w:p w14:paraId="72A0A968" w14:textId="77777777" w:rsidR="0017437C" w:rsidRPr="009A1767" w:rsidRDefault="0053037A">
      <w:pPr>
        <w:ind w:firstLine="640"/>
        <w:rPr>
          <w:rFonts w:hAnsi="仿宋_GB2312" w:cs="仿宋_GB2312"/>
          <w:szCs w:val="32"/>
        </w:rPr>
      </w:pPr>
      <w:r w:rsidRPr="009A1767">
        <w:rPr>
          <w:rFonts w:hAnsi="仿宋_GB2312" w:cs="仿宋_GB2312" w:hint="eastAsia"/>
          <w:bCs/>
          <w:szCs w:val="32"/>
        </w:rPr>
        <w:t>深化区域联防联控和应急联动。</w:t>
      </w:r>
      <w:r w:rsidRPr="009A1767">
        <w:rPr>
          <w:rFonts w:hint="eastAsia"/>
          <w:szCs w:val="32"/>
        </w:rPr>
        <w:t>完善每日会商、提前预警、协商减排、监督帮扶、区域联动的重污染天气应对工作机制。</w:t>
      </w:r>
      <w:r w:rsidRPr="009A1767">
        <w:rPr>
          <w:rFonts w:hAnsi="仿宋_GB2312" w:cs="仿宋_GB2312" w:hint="eastAsia"/>
          <w:szCs w:val="32"/>
        </w:rPr>
        <w:t>完善空气质量预测预报会商机制，当预测到可能出现大范围重污染天气时，统一发布预警信息。各县（市、区）</w:t>
      </w:r>
      <w:r w:rsidRPr="009A1767">
        <w:rPr>
          <w:rFonts w:hAnsi="仿宋_GB2312" w:cs="仿宋_GB2312" w:hint="eastAsia"/>
          <w:szCs w:val="32"/>
        </w:rPr>
        <w:lastRenderedPageBreak/>
        <w:t>按照要求启动相应级别应急响应措施，实施区域应急联动。努力减少重污染过程发生次数，缩短污染时长，减轻污染程度。</w:t>
      </w:r>
    </w:p>
    <w:p w14:paraId="188FEBC7"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4.</w:t>
      </w:r>
      <w:r w:rsidRPr="009A1767">
        <w:rPr>
          <w:rFonts w:hAnsi="仿宋_GB2312" w:cs="仿宋_GB2312" w:hint="eastAsia"/>
          <w:szCs w:val="32"/>
        </w:rPr>
        <w:t>强化面源和噪声污染治理</w:t>
      </w:r>
    </w:p>
    <w:p w14:paraId="6454E178" w14:textId="77777777" w:rsidR="0017437C" w:rsidRPr="009A1767" w:rsidRDefault="0053037A">
      <w:pPr>
        <w:ind w:firstLine="640"/>
        <w:rPr>
          <w:rFonts w:hAnsi="仿宋_GB2312" w:cs="仿宋_GB2312"/>
          <w:szCs w:val="32"/>
        </w:rPr>
      </w:pPr>
      <w:r w:rsidRPr="009A1767">
        <w:rPr>
          <w:rFonts w:hAnsi="仿宋_GB2312" w:cs="仿宋_GB2312" w:hint="eastAsia"/>
          <w:bCs/>
          <w:szCs w:val="32"/>
        </w:rPr>
        <w:t>强化施工扬尘监管。</w:t>
      </w:r>
      <w:r w:rsidRPr="009A1767">
        <w:rPr>
          <w:rFonts w:hAnsi="仿宋_GB2312" w:cs="仿宋_GB2312" w:hint="eastAsia"/>
          <w:szCs w:val="32"/>
        </w:rPr>
        <w:t>严格落实建筑施工扬尘整治“六个百分之百”措施，安装在线监测和视频监控，并与当地有关主管部门联网，实现施工工地重点环节和部位的精细化管理。鼓励各地继续推动实施“阳光施工”“阳光运输”，减少夜间施工和运输。将扬尘管理工作不到位的不良信息纳入建筑市场信用管理体系，情节严重的，列入建筑市场主体“黑名单”。</w:t>
      </w:r>
    </w:p>
    <w:p w14:paraId="275AB0EE" w14:textId="77777777" w:rsidR="0017437C" w:rsidRPr="009A1767" w:rsidRDefault="0053037A">
      <w:pPr>
        <w:ind w:firstLine="640"/>
        <w:rPr>
          <w:rFonts w:hAnsi="仿宋_GB2312" w:cs="仿宋_GB2312"/>
          <w:szCs w:val="32"/>
        </w:rPr>
      </w:pPr>
      <w:r w:rsidRPr="009A1767">
        <w:rPr>
          <w:rFonts w:hAnsi="仿宋_GB2312" w:cs="仿宋_GB2312" w:hint="eastAsia"/>
          <w:bCs/>
          <w:szCs w:val="32"/>
        </w:rPr>
        <w:t>控制道路扬尘污染。</w:t>
      </w:r>
      <w:r w:rsidRPr="009A1767">
        <w:rPr>
          <w:rFonts w:hAnsi="仿宋_GB2312" w:cs="仿宋_GB2312" w:hint="eastAsia"/>
          <w:szCs w:val="32"/>
        </w:rPr>
        <w:t>提升城市扬尘管理水平，推进道路清扫保洁机械化作业，进一步提高道路机械化清扫率。采用硬化与绿化相结合的方式，对土街土路、破损道路进行硬化修复，对裸露区域进行有效覆盖或临时绿化。鼓励引导企业加快发展封闭箱式货车、集装箱运输车，积极探索重型散装物料货车集装箱运输或硬密闭措施运输，积极推广使用物料表面喷洒覆盖剂等抑尘技术。对未采取有效封闭措施、存在随意抛洒行为的运输车辆依法依规予以处罚。</w:t>
      </w:r>
    </w:p>
    <w:p w14:paraId="5D42695C" w14:textId="77777777" w:rsidR="0017437C" w:rsidRPr="009A1767" w:rsidRDefault="0053037A">
      <w:pPr>
        <w:ind w:firstLine="640"/>
        <w:rPr>
          <w:rFonts w:hAnsi="仿宋_GB2312" w:cs="仿宋_GB2312"/>
          <w:szCs w:val="32"/>
        </w:rPr>
      </w:pPr>
      <w:r w:rsidRPr="009A1767">
        <w:rPr>
          <w:rFonts w:hAnsi="仿宋_GB2312" w:cs="仿宋_GB2312" w:hint="eastAsia"/>
          <w:bCs/>
          <w:szCs w:val="32"/>
        </w:rPr>
        <w:t>严格渣土运输车辆规范化管理。</w:t>
      </w:r>
      <w:r w:rsidRPr="009A1767">
        <w:rPr>
          <w:rFonts w:hAnsi="仿宋_GB2312" w:cs="仿宋_GB2312" w:hint="eastAsia"/>
          <w:szCs w:val="32"/>
        </w:rPr>
        <w:t>新增渣土运输车辆必须为新能源车辆，并采取密闭措施。现有渣土运输车辆全部采用“全密闭”“全定位”“全监控”的新型环保渣土车，并符</w:t>
      </w:r>
      <w:r w:rsidRPr="009A1767">
        <w:rPr>
          <w:rFonts w:hAnsi="仿宋_GB2312" w:cs="仿宋_GB2312" w:hint="eastAsia"/>
          <w:szCs w:val="32"/>
        </w:rPr>
        <w:lastRenderedPageBreak/>
        <w:t>合环保尾气排放标准，取得《渣土运输许可证》，需通行限行区域的车辆还需取得《限行道路通行证》，按照规定线路行驶，在指定场所倾倒。密闭不严、车轮带泥的车辆，一律不得驶出工地。不符合要求上路行驶的渣土车辆，一经查处取消渣土运输资格。建立倒查机制，对违法渣土运输车辆，同时追溯上游施工工地责任。</w:t>
      </w:r>
    </w:p>
    <w:p w14:paraId="57D0D286" w14:textId="77777777" w:rsidR="0017437C" w:rsidRPr="009A1767" w:rsidRDefault="0053037A">
      <w:pPr>
        <w:ind w:firstLine="640"/>
        <w:rPr>
          <w:rFonts w:hAnsi="仿宋_GB2312" w:cs="仿宋_GB2312"/>
          <w:szCs w:val="32"/>
        </w:rPr>
      </w:pPr>
      <w:r w:rsidRPr="009A1767">
        <w:rPr>
          <w:rFonts w:hAnsi="仿宋_GB2312" w:cs="仿宋_GB2312" w:hint="eastAsia"/>
          <w:bCs/>
          <w:szCs w:val="32"/>
        </w:rPr>
        <w:t>推进堆场和裸地扬尘治理。</w:t>
      </w:r>
      <w:r w:rsidRPr="009A1767">
        <w:rPr>
          <w:rFonts w:hAnsi="仿宋_GB2312" w:cs="仿宋_GB2312" w:hint="eastAsia"/>
          <w:szCs w:val="32"/>
        </w:rPr>
        <w:t>工业堆场实施规范化全封闭管理。规范工业堆场生产、运输环节作业，降低起尘量。对城市和县城主次干道、背街小巷、工矿企业周边裸露的砂堆、煤堆、渣堆等各类不规范堆场进行清理，对城市建成区、城乡结合部、各开发区的未硬化道路、沿街门面与道路连接带未硬化区域全面实施硬化。</w:t>
      </w:r>
    </w:p>
    <w:p w14:paraId="0129524C" w14:textId="77777777" w:rsidR="0017437C" w:rsidRPr="009A1767" w:rsidRDefault="0053037A">
      <w:pPr>
        <w:ind w:firstLine="640"/>
        <w:rPr>
          <w:rFonts w:hAnsi="仿宋_GB2312" w:cs="仿宋_GB2312"/>
          <w:szCs w:val="32"/>
        </w:rPr>
      </w:pPr>
      <w:r w:rsidRPr="009A1767">
        <w:rPr>
          <w:rFonts w:hAnsi="仿宋_GB2312" w:cs="仿宋_GB2312" w:hint="eastAsia"/>
          <w:bCs/>
          <w:szCs w:val="32"/>
        </w:rPr>
        <w:t>加强农业面源污染防治。</w:t>
      </w:r>
      <w:r w:rsidRPr="009A1767">
        <w:rPr>
          <w:rFonts w:hAnsi="仿宋_GB2312" w:cs="仿宋_GB2312" w:hint="eastAsia"/>
          <w:szCs w:val="32"/>
        </w:rPr>
        <w:t>全面禁止露天焚烧秸秆，加强夏收和秋收阶段秸秆禁烧管控。推进秸秆综合利用，积极推动秸秆肥料化、饲料化、燃料化、基料化和原料化利用。推进种养结合模式，优化养殖业、种植业肥料、饲料结构，从源头推进氨减排；加强污染源头防控，积极推进畜禽粪污资源化利用，提高畜禽粪污综合利用率，减少氨挥发排放。</w:t>
      </w:r>
    </w:p>
    <w:p w14:paraId="2946EB80" w14:textId="77777777" w:rsidR="0017437C" w:rsidRPr="009A1767" w:rsidRDefault="0053037A">
      <w:pPr>
        <w:ind w:firstLine="640"/>
        <w:rPr>
          <w:b/>
          <w:szCs w:val="32"/>
        </w:rPr>
      </w:pPr>
      <w:r w:rsidRPr="009A1767">
        <w:rPr>
          <w:rFonts w:hint="eastAsia"/>
          <w:bCs/>
          <w:szCs w:val="32"/>
        </w:rPr>
        <w:t>创造宁静生活环境。</w:t>
      </w:r>
      <w:r w:rsidRPr="009A1767">
        <w:rPr>
          <w:rFonts w:hint="eastAsia"/>
          <w:szCs w:val="32"/>
        </w:rPr>
        <w:t>强化声环境功能区管理，合理规划公路、铁路等交通干线与周边敏感建筑物的防护距离。加强声环境质量监测，推动建设声环境功能区声环境质量自动监</w:t>
      </w:r>
      <w:r w:rsidRPr="009A1767">
        <w:rPr>
          <w:rFonts w:hint="eastAsia"/>
          <w:szCs w:val="32"/>
        </w:rPr>
        <w:lastRenderedPageBreak/>
        <w:t>测系统。实施噪声污染防治行动，加快解决群众关心的突出噪声问题。加强城市噪声敏感建筑物等重点领域噪声管控，完善高架路、快速路、铁路等交通干线隔声屏障等降噪设施。强化夜间施工管理，鼓励采用低噪声施工设备和工艺。集中整治文化娱乐、商业经营活动噪声、机动车噪声等社会生活噪声热点问题，查处噪声排放扰民行为。增强公众声环境保护意识，鼓励制定公共场所文明公约、社区噪声控制规约，打造宁静社区等宁静休息空间。到2025年，声环境功能区夜间达标率达到85%。</w:t>
      </w:r>
    </w:p>
    <w:p w14:paraId="20C568B1" w14:textId="77777777" w:rsidR="0017437C" w:rsidRPr="009A1767" w:rsidRDefault="0053037A">
      <w:pPr>
        <w:ind w:firstLine="640"/>
        <w:rPr>
          <w:rFonts w:ascii="楷体" w:eastAsia="楷体" w:hAnsi="楷体" w:cs="仿宋_GB2312"/>
          <w:color w:val="0000FF"/>
          <w:szCs w:val="32"/>
          <w:u w:val="single"/>
        </w:rPr>
      </w:pPr>
      <w:r w:rsidRPr="009A1767">
        <w:rPr>
          <w:rFonts w:ascii="楷体" w:eastAsia="楷体" w:hAnsi="楷体" w:cs="仿宋_GB2312" w:hint="eastAsia"/>
          <w:color w:val="0000FF"/>
          <w:szCs w:val="32"/>
          <w:u w:val="single"/>
        </w:rPr>
        <w:t>（四）坚持“三水”统筹，改善流域生态环境质量。</w:t>
      </w:r>
    </w:p>
    <w:p w14:paraId="504E0F73"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1</w:t>
      </w:r>
      <w:r w:rsidRPr="009A1767">
        <w:rPr>
          <w:rFonts w:hAnsi="仿宋_GB2312" w:cs="仿宋_GB2312"/>
          <w:color w:val="0000FF"/>
          <w:szCs w:val="32"/>
          <w:u w:val="single"/>
        </w:rPr>
        <w:t>.</w:t>
      </w:r>
      <w:r w:rsidRPr="009A1767">
        <w:rPr>
          <w:rFonts w:hAnsi="仿宋_GB2312" w:cs="仿宋_GB2312" w:hint="eastAsia"/>
          <w:szCs w:val="32"/>
        </w:rPr>
        <w:t>加大水资源节约保护。</w:t>
      </w:r>
    </w:p>
    <w:p w14:paraId="5DB3995D" w14:textId="77777777" w:rsidR="0017437C" w:rsidRPr="009A1767" w:rsidRDefault="0053037A">
      <w:pPr>
        <w:ind w:firstLine="640"/>
        <w:rPr>
          <w:rFonts w:hAnsi="黑体"/>
          <w:szCs w:val="32"/>
        </w:rPr>
      </w:pPr>
      <w:r w:rsidRPr="009A1767">
        <w:rPr>
          <w:rFonts w:hAnsi="黑体" w:hint="eastAsia"/>
          <w:bCs/>
          <w:szCs w:val="32"/>
        </w:rPr>
        <w:t>实行水资源刚性约束。</w:t>
      </w:r>
      <w:r w:rsidRPr="009A1767">
        <w:rPr>
          <w:rFonts w:hAnsi="黑体" w:hint="eastAsia"/>
          <w:szCs w:val="32"/>
        </w:rPr>
        <w:t>严格管控水资源消耗总量和强度，抑制不合理用水需求。开展节水型社会创建，</w:t>
      </w:r>
      <w:r w:rsidRPr="009A1767">
        <w:rPr>
          <w:rFonts w:hAnsi="仿宋_GB2312" w:cs="仿宋_GB2312" w:hint="eastAsia"/>
          <w:snapToGrid w:val="0"/>
          <w:kern w:val="0"/>
          <w:szCs w:val="32"/>
        </w:rPr>
        <w:t>扎实推进县域节水型社会达标建设。大力推进工业节水，推动高耗水企业生产工序节水改造和再生利用。大力推进农业节水，以汾河流域平原地区为重点，规模化推进高效节水灌溉，严厉打击非法取水。</w:t>
      </w:r>
    </w:p>
    <w:p w14:paraId="4E0F5A34" w14:textId="77777777" w:rsidR="0017437C" w:rsidRPr="009A1767" w:rsidRDefault="0053037A">
      <w:pPr>
        <w:ind w:firstLine="640"/>
        <w:rPr>
          <w:rFonts w:hAnsi="黑体"/>
          <w:szCs w:val="32"/>
        </w:rPr>
      </w:pPr>
      <w:r w:rsidRPr="009A1767">
        <w:rPr>
          <w:rFonts w:hAnsi="黑体" w:hint="eastAsia"/>
          <w:bCs/>
          <w:szCs w:val="32"/>
        </w:rPr>
        <w:t>严控超采区地下水开采量。</w:t>
      </w:r>
      <w:r w:rsidRPr="009A1767">
        <w:rPr>
          <w:rFonts w:hAnsi="黑体" w:hint="eastAsia"/>
          <w:szCs w:val="32"/>
        </w:rPr>
        <w:t>加快推进全市地下水超采区综合治理，采取强化节水、置换水源、禁采限采、关井压采等措施，充分利用非常规水、外调水和本地地表水等，完成省下达我市“十四五”地下水压采任务。地下水超采区内禁</w:t>
      </w:r>
      <w:r w:rsidRPr="009A1767">
        <w:rPr>
          <w:rFonts w:hAnsi="黑体" w:hint="eastAsia"/>
          <w:szCs w:val="32"/>
        </w:rPr>
        <w:lastRenderedPageBreak/>
        <w:t>止工农业及服务业新增取用地下水，限期关闭公共供水覆盖范围内的自备水井。到2025年，力争实现地下水采补平衡。</w:t>
      </w:r>
    </w:p>
    <w:p w14:paraId="3E04596D" w14:textId="77777777" w:rsidR="0017437C" w:rsidRPr="009A1767" w:rsidRDefault="0053037A">
      <w:pPr>
        <w:ind w:firstLine="640"/>
        <w:rPr>
          <w:rFonts w:hAnsi="黑体"/>
          <w:szCs w:val="32"/>
        </w:rPr>
      </w:pPr>
      <w:r w:rsidRPr="009A1767">
        <w:rPr>
          <w:rFonts w:hAnsi="黑体" w:hint="eastAsia"/>
          <w:bCs/>
          <w:szCs w:val="32"/>
        </w:rPr>
        <w:t>强化岩溶大泉保护监管。</w:t>
      </w:r>
      <w:r w:rsidRPr="009A1767">
        <w:rPr>
          <w:rFonts w:hAnsi="黑体" w:hint="eastAsia"/>
          <w:szCs w:val="32"/>
        </w:rPr>
        <w:t>加快推进岩溶大泉泉域保护和生态修复，严格控制生产企业取用泉域岩溶水，分步推进重点保护区的已建高耗水企业退出。通过节水、禁采限采、水源置换等综合措施，减少区域岩溶泉水取用量，进一步强化生态措施，促进泉域水生态逐步恢复。</w:t>
      </w:r>
    </w:p>
    <w:p w14:paraId="47E790F3" w14:textId="77777777" w:rsidR="0017437C" w:rsidRPr="009A1767" w:rsidRDefault="0053037A">
      <w:pPr>
        <w:ind w:firstLine="640"/>
        <w:rPr>
          <w:rFonts w:hAnsi="黑体"/>
          <w:szCs w:val="32"/>
        </w:rPr>
      </w:pPr>
      <w:r w:rsidRPr="009A1767">
        <w:rPr>
          <w:rFonts w:hAnsi="仿宋_GB2312" w:cs="仿宋_GB2312" w:hint="eastAsia"/>
          <w:bCs/>
          <w:snapToGrid w:val="0"/>
          <w:kern w:val="0"/>
          <w:szCs w:val="32"/>
        </w:rPr>
        <w:t>推动再生水循环利用。</w:t>
      </w:r>
      <w:r w:rsidRPr="009A1767">
        <w:rPr>
          <w:rFonts w:hAnsi="仿宋_GB2312" w:cs="仿宋_GB2312" w:hint="eastAsia"/>
          <w:snapToGrid w:val="0"/>
          <w:kern w:val="0"/>
          <w:szCs w:val="32"/>
        </w:rPr>
        <w:t>将</w:t>
      </w:r>
      <w:r w:rsidRPr="009A1767">
        <w:rPr>
          <w:rFonts w:hAnsi="黑体" w:hint="eastAsia"/>
          <w:szCs w:val="32"/>
        </w:rPr>
        <w:t>再生水纳入水资源统一配置，统筹推进城镇生活污水、工业废水、农业农村污水资源化利用。到2025年，城区及县城再生水利用率力争达到25%以上。</w:t>
      </w:r>
    </w:p>
    <w:p w14:paraId="19B098C4" w14:textId="77777777" w:rsidR="0017437C" w:rsidRPr="009A1767" w:rsidRDefault="0053037A">
      <w:pPr>
        <w:ind w:firstLine="640"/>
        <w:rPr>
          <w:rFonts w:hAnsi="仿宋_GB2312" w:cs="仿宋_GB2312"/>
          <w:snapToGrid w:val="0"/>
          <w:kern w:val="0"/>
          <w:szCs w:val="32"/>
        </w:rPr>
      </w:pPr>
      <w:r w:rsidRPr="009A1767">
        <w:rPr>
          <w:rFonts w:hAnsi="仿宋_GB2312" w:cs="仿宋_GB2312" w:hint="eastAsia"/>
          <w:bCs/>
          <w:snapToGrid w:val="0"/>
          <w:kern w:val="0"/>
          <w:szCs w:val="32"/>
        </w:rPr>
        <w:t>强化河流生态流量保障。</w:t>
      </w:r>
      <w:r w:rsidRPr="009A1767">
        <w:rPr>
          <w:rFonts w:hAnsi="仿宋_GB2312" w:cs="仿宋_GB2312" w:hint="eastAsia"/>
          <w:snapToGrid w:val="0"/>
          <w:kern w:val="0"/>
          <w:szCs w:val="32"/>
        </w:rPr>
        <w:t>落实汾河流域上下游横向生态补偿机制，与太原市、吕梁市、临汾市建立汾河流域上下游之间沟通协商机制，做好所辖区域内汾河干支流生态流量保障工作。充分发挥现有控制性水利设施的调蓄功能，补充下游河流生态用水，加强沿河取水口的日常监管，严禁非法取水和无证取水，积极</w:t>
      </w:r>
      <w:r w:rsidRPr="009A1767">
        <w:rPr>
          <w:rFonts w:hint="eastAsia"/>
          <w:szCs w:val="28"/>
        </w:rPr>
        <w:t>谋划河流连通工程、生态补水工程，</w:t>
      </w:r>
      <w:r w:rsidRPr="009A1767">
        <w:rPr>
          <w:rFonts w:hAnsi="仿宋_GB2312" w:cs="仿宋_GB2312" w:hint="eastAsia"/>
          <w:snapToGrid w:val="0"/>
          <w:kern w:val="0"/>
          <w:szCs w:val="32"/>
        </w:rPr>
        <w:t>确保全市汾河干支流横向生态补偿考核断面生态流量达标。</w:t>
      </w:r>
    </w:p>
    <w:p w14:paraId="26E14C8E"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2</w:t>
      </w:r>
      <w:r w:rsidRPr="009A1767">
        <w:rPr>
          <w:rFonts w:hAnsi="仿宋_GB2312" w:cs="仿宋_GB2312"/>
          <w:color w:val="0000FF"/>
          <w:szCs w:val="32"/>
          <w:u w:val="single"/>
        </w:rPr>
        <w:t>.</w:t>
      </w:r>
      <w:r w:rsidRPr="009A1767">
        <w:rPr>
          <w:rFonts w:hAnsi="仿宋_GB2312" w:cs="仿宋_GB2312" w:hint="eastAsia"/>
          <w:szCs w:val="32"/>
        </w:rPr>
        <w:t>强化水生态保护修复。</w:t>
      </w:r>
    </w:p>
    <w:p w14:paraId="2C42A3A7" w14:textId="77777777" w:rsidR="0017437C" w:rsidRPr="009A1767" w:rsidRDefault="0053037A">
      <w:pPr>
        <w:ind w:firstLine="640"/>
        <w:rPr>
          <w:rFonts w:hAnsi="黑体"/>
          <w:bCs/>
          <w:szCs w:val="32"/>
        </w:rPr>
      </w:pPr>
      <w:r w:rsidRPr="009A1767">
        <w:rPr>
          <w:rFonts w:hAnsi="黑体" w:hint="eastAsia"/>
          <w:szCs w:val="32"/>
        </w:rPr>
        <w:t>推动天然湿地修复和人工湿地建设。</w:t>
      </w:r>
      <w:r w:rsidRPr="009A1767">
        <w:rPr>
          <w:rFonts w:hAnsi="黑体" w:hint="eastAsia"/>
          <w:bCs/>
          <w:szCs w:val="32"/>
        </w:rPr>
        <w:t>加快推进天然湿地修复和湿地保护区、湿地公园建设，恢复流域生物多样性。以汾河流域为重点，推进城镇生活污水处理厂尾水带保温措</w:t>
      </w:r>
      <w:r w:rsidRPr="009A1767">
        <w:rPr>
          <w:rFonts w:hAnsi="黑体" w:hint="eastAsia"/>
          <w:bCs/>
          <w:szCs w:val="32"/>
        </w:rPr>
        <w:lastRenderedPageBreak/>
        <w:t>施的人工潜流湿地建设，推进沟、渠、支流入干流河口处及入汾口堤外人工湿地建设。</w:t>
      </w:r>
    </w:p>
    <w:p w14:paraId="138CFCC3" w14:textId="77777777" w:rsidR="0017437C" w:rsidRPr="009A1767" w:rsidRDefault="0053037A">
      <w:pPr>
        <w:ind w:firstLine="640"/>
        <w:rPr>
          <w:rFonts w:hAnsi="黑体"/>
          <w:b/>
          <w:bCs/>
          <w:szCs w:val="32"/>
        </w:rPr>
      </w:pPr>
      <w:r w:rsidRPr="009A1767">
        <w:rPr>
          <w:rFonts w:hAnsi="黑体" w:hint="eastAsia"/>
          <w:szCs w:val="32"/>
        </w:rPr>
        <w:t>建设河（湖）沿岸缓冲廊带。</w:t>
      </w:r>
      <w:r w:rsidRPr="009A1767">
        <w:rPr>
          <w:rFonts w:hAnsi="黑体" w:hint="eastAsia"/>
          <w:bCs/>
          <w:szCs w:val="32"/>
        </w:rPr>
        <w:t>强化河（湖）缓冲带和河堤生态护坡建设。加强小流域综合治理，实施植树种草、封育保护，涵养水源，积极打造美丽河湖，恢复水清岸绿的水生态系统。</w:t>
      </w:r>
    </w:p>
    <w:p w14:paraId="22C97612" w14:textId="77777777" w:rsidR="0017437C" w:rsidRPr="009A1767" w:rsidRDefault="0053037A">
      <w:pPr>
        <w:ind w:firstLine="640"/>
        <w:rPr>
          <w:rFonts w:hAnsi="仿宋_GB2312" w:cs="Times New Roman"/>
          <w:bCs/>
          <w:kern w:val="0"/>
          <w:szCs w:val="32"/>
        </w:rPr>
      </w:pPr>
      <w:r w:rsidRPr="009A1767">
        <w:rPr>
          <w:rFonts w:hAnsi="黑体" w:hint="eastAsia"/>
          <w:szCs w:val="32"/>
        </w:rPr>
        <w:t>加强河流水系综合整治。</w:t>
      </w:r>
      <w:r w:rsidRPr="009A1767">
        <w:rPr>
          <w:rFonts w:hAnsi="黑体" w:hint="eastAsia"/>
          <w:bCs/>
          <w:szCs w:val="32"/>
        </w:rPr>
        <w:t>持续开展“清河行动”，全面清理河道内垃圾等废弃物，对影响河流水质的底淤进行清理。严禁在河道内开展机械车辆的清洗作业，严控石油类物质对河流水质的影响。严禁在河道内开展种植、放牧、垂钓、渔业养殖等违规行为。</w:t>
      </w:r>
      <w:r w:rsidRPr="009A1767">
        <w:rPr>
          <w:rFonts w:hAnsi="仿宋_GB2312" w:cs="Times New Roman" w:hint="eastAsia"/>
          <w:bCs/>
          <w:kern w:val="0"/>
          <w:szCs w:val="32"/>
        </w:rPr>
        <w:t>因地制宜选择栽种亲水、耐湿植物，逐步恢复河流水生植被，探索恢复土著鱼类和水生植物。</w:t>
      </w:r>
    </w:p>
    <w:p w14:paraId="25C350FB" w14:textId="77777777" w:rsidR="0017437C" w:rsidRPr="009A1767" w:rsidRDefault="0053037A">
      <w:pPr>
        <w:ind w:firstLine="640"/>
        <w:rPr>
          <w:rFonts w:hAnsi="黑体"/>
          <w:bCs/>
          <w:szCs w:val="32"/>
        </w:rPr>
      </w:pPr>
      <w:r w:rsidRPr="009A1767">
        <w:rPr>
          <w:rFonts w:hAnsi="黑体" w:hint="eastAsia"/>
          <w:szCs w:val="32"/>
        </w:rPr>
        <w:t>开展水生态监测与调查评估。</w:t>
      </w:r>
      <w:r w:rsidRPr="009A1767">
        <w:rPr>
          <w:rFonts w:hAnsi="黑体" w:hint="eastAsia"/>
          <w:bCs/>
          <w:szCs w:val="32"/>
        </w:rPr>
        <w:t>提升水生态环境监测能力，加快构建水生态环境监测体系。围绕生物群落多样性、自然岸带生态本底、河道生态主要状况等基本要素，重点对汾河、漳河开展河流生态状况调查，摸清全市河流生态现状，实施水生态系统健康评估。</w:t>
      </w:r>
    </w:p>
    <w:p w14:paraId="510668C0" w14:textId="77777777" w:rsidR="0017437C" w:rsidRPr="009A1767" w:rsidRDefault="0053037A">
      <w:pPr>
        <w:ind w:firstLine="640"/>
        <w:rPr>
          <w:rFonts w:hAnsi="黑体"/>
          <w:bCs/>
          <w:szCs w:val="32"/>
        </w:rPr>
      </w:pPr>
      <w:r w:rsidRPr="009A1767">
        <w:rPr>
          <w:rFonts w:hAnsi="黑体" w:hint="eastAsia"/>
          <w:bCs/>
          <w:color w:val="0000FF"/>
          <w:szCs w:val="32"/>
          <w:u w:val="single"/>
        </w:rPr>
        <w:t>3</w:t>
      </w:r>
      <w:r w:rsidRPr="009A1767">
        <w:rPr>
          <w:rFonts w:hAnsi="黑体"/>
          <w:bCs/>
          <w:color w:val="0000FF"/>
          <w:szCs w:val="32"/>
          <w:u w:val="single"/>
        </w:rPr>
        <w:t>.</w:t>
      </w:r>
      <w:r w:rsidRPr="009A1767">
        <w:rPr>
          <w:rFonts w:hAnsi="黑体" w:hint="eastAsia"/>
          <w:bCs/>
          <w:szCs w:val="32"/>
        </w:rPr>
        <w:t>推动是环境质量改善。</w:t>
      </w:r>
    </w:p>
    <w:p w14:paraId="7DED7719" w14:textId="77777777" w:rsidR="0017437C" w:rsidRPr="009A1767" w:rsidRDefault="0053037A">
      <w:pPr>
        <w:ind w:firstLine="640"/>
        <w:rPr>
          <w:szCs w:val="32"/>
        </w:rPr>
      </w:pPr>
      <w:r w:rsidRPr="009A1767">
        <w:rPr>
          <w:rFonts w:hint="eastAsia"/>
          <w:bCs/>
          <w:szCs w:val="32"/>
        </w:rPr>
        <w:t>坚决把好入河排污关口。</w:t>
      </w:r>
      <w:r w:rsidRPr="009A1767">
        <w:rPr>
          <w:rFonts w:hint="eastAsia"/>
          <w:szCs w:val="32"/>
        </w:rPr>
        <w:t>实施入河排污口再排查再整治专项行动，开展排污口排查溯源，实施分类整治。保留排污口进行登记造册，动态更新入河排污口清单。严格入河排污</w:t>
      </w:r>
      <w:r w:rsidRPr="009A1767">
        <w:rPr>
          <w:rFonts w:hint="eastAsia"/>
          <w:szCs w:val="32"/>
        </w:rPr>
        <w:lastRenderedPageBreak/>
        <w:t>口设置审核管理，加强登记备案管理，强化入河排污口规范化监管。加强入河排污口水质监测，对超标排放的排污口溯源整治，限期达标。</w:t>
      </w:r>
    </w:p>
    <w:p w14:paraId="19FEE2C2" w14:textId="77777777" w:rsidR="0017437C" w:rsidRPr="009A1767" w:rsidRDefault="0053037A">
      <w:pPr>
        <w:ind w:firstLine="640"/>
        <w:rPr>
          <w:szCs w:val="32"/>
        </w:rPr>
      </w:pPr>
      <w:r w:rsidRPr="009A1767">
        <w:rPr>
          <w:rFonts w:hint="eastAsia"/>
          <w:bCs/>
          <w:szCs w:val="32"/>
        </w:rPr>
        <w:t>优化地表水环境监测管理。</w:t>
      </w:r>
      <w:r w:rsidRPr="009A1767">
        <w:rPr>
          <w:rFonts w:hint="eastAsia"/>
          <w:szCs w:val="32"/>
        </w:rPr>
        <w:t>推动晋中市水生态环境精细化管理平台建设。整合优化现有监测监控体系，加快补齐新增国省考断面水质自动监测短板。加强水质监测与污染溯源，开展日调度、周研判、月通报，对断面水质恶化的及时向有关县（</w:t>
      </w:r>
      <w:r w:rsidRPr="009A1767">
        <w:rPr>
          <w:rFonts w:hAnsi="仿宋_GB2312" w:cs="仿宋_GB2312" w:hint="eastAsia"/>
          <w:szCs w:val="32"/>
        </w:rPr>
        <w:t>市、区</w:t>
      </w:r>
      <w:r w:rsidRPr="009A1767">
        <w:rPr>
          <w:rFonts w:hint="eastAsia"/>
          <w:szCs w:val="32"/>
        </w:rPr>
        <w:t>）实施预警。</w:t>
      </w:r>
    </w:p>
    <w:p w14:paraId="624DFCDF" w14:textId="77777777" w:rsidR="0017437C" w:rsidRPr="009A1767" w:rsidRDefault="0053037A">
      <w:pPr>
        <w:pStyle w:val="a7"/>
        <w:spacing w:line="360" w:lineRule="auto"/>
        <w:ind w:firstLineChars="200" w:firstLine="640"/>
        <w:rPr>
          <w:rFonts w:ascii="仿宋_GB2312" w:eastAsia="仿宋_GB2312" w:hAnsi="Times New Roman" w:cs="Times New Roman"/>
          <w:sz w:val="32"/>
          <w:szCs w:val="32"/>
        </w:rPr>
      </w:pPr>
      <w:r w:rsidRPr="009A1767">
        <w:rPr>
          <w:rFonts w:ascii="仿宋_GB2312" w:eastAsia="仿宋_GB2312" w:hAnsi="Times New Roman" w:cs="Times New Roman" w:hint="eastAsia"/>
          <w:bCs/>
          <w:sz w:val="32"/>
          <w:szCs w:val="32"/>
        </w:rPr>
        <w:t>全力保障饮用水水源安全。</w:t>
      </w:r>
      <w:r w:rsidRPr="009A1767">
        <w:rPr>
          <w:rFonts w:ascii="仿宋_GB2312" w:eastAsia="仿宋_GB2312" w:hAnsi="Times New Roman" w:cs="Times New Roman" w:hint="eastAsia"/>
          <w:sz w:val="32"/>
          <w:szCs w:val="32"/>
        </w:rPr>
        <w:t>完成县级及以上和农村“千吨万人”集中式饮用水水源环境状况评估和乡镇级饮用水水源地基础信息调查工作。推进县级及以上饮用水水源规范化建设，重点完成新增水源地保护区的标志牌设置、水质监测监控、违法建设项目及排污口整治。加强农村水源地保护，2022年底前完成农村千人供水工程饮用水水源保护区划定工作，强化千吨万人、千人供水工程等农村水源地环境监管。</w:t>
      </w:r>
    </w:p>
    <w:p w14:paraId="64EAF364" w14:textId="77777777" w:rsidR="0017437C" w:rsidRPr="009A1767" w:rsidRDefault="0053037A">
      <w:pPr>
        <w:ind w:firstLine="640"/>
        <w:rPr>
          <w:rFonts w:hAnsi="仿宋_GB2312" w:cs="仿宋_GB2312"/>
          <w:bCs/>
          <w:szCs w:val="32"/>
        </w:rPr>
      </w:pPr>
      <w:r w:rsidRPr="009A1767">
        <w:rPr>
          <w:rFonts w:hAnsi="仿宋_GB2312" w:cs="仿宋_GB2312" w:hint="eastAsia"/>
          <w:szCs w:val="32"/>
        </w:rPr>
        <w:t>持续推进黑臭水体整治。</w:t>
      </w:r>
      <w:r w:rsidRPr="009A1767">
        <w:rPr>
          <w:rFonts w:hAnsi="仿宋_GB2312" w:cs="仿宋_GB2312" w:hint="eastAsia"/>
          <w:bCs/>
          <w:szCs w:val="32"/>
        </w:rPr>
        <w:t>巩固黑臭水体治理成果，对已完成整治的黑臭水体按季度开展黑臭水体监测工作，严防城市黑臭水体水质反弹。2022年底前，全面消除建成区黑臭水体。梯次开展海河流域黑臭水体排查整治，2022年底前，完成海河流域县城建成区黑臭水体排查工作；到2023年，全面消除县城建成区黑臭水体。</w:t>
      </w:r>
    </w:p>
    <w:p w14:paraId="24883140" w14:textId="77777777" w:rsidR="0017437C" w:rsidRPr="009A1767" w:rsidRDefault="0053037A">
      <w:pPr>
        <w:ind w:firstLine="640"/>
        <w:rPr>
          <w:rFonts w:hAnsi="黑体"/>
          <w:szCs w:val="32"/>
        </w:rPr>
      </w:pPr>
      <w:r w:rsidRPr="009A1767">
        <w:rPr>
          <w:rFonts w:hAnsi="黑体" w:hint="eastAsia"/>
          <w:bCs/>
          <w:szCs w:val="32"/>
        </w:rPr>
        <w:lastRenderedPageBreak/>
        <w:t>加快补齐城镇生活污水收集和处理能力短板。</w:t>
      </w:r>
      <w:r w:rsidRPr="009A1767">
        <w:rPr>
          <w:rFonts w:hAnsi="黑体" w:hint="eastAsia"/>
          <w:szCs w:val="32"/>
        </w:rPr>
        <w:t>推进实施市城区、祁县、介休、和顺、昔阳、灵石等一批城镇污水处理设施新建、扩建、改造工程，补齐城镇生活污水处理能力不足短板。加强老旧城区、城乡结合部以及市政管网辐射范围内无排水管网村庄等区域的污水收集管网建设，逐步消除城区和县城生活污水收集管网空白区，力争到2023年实现全市城区和县城生活污水全收集、全处理。</w:t>
      </w:r>
    </w:p>
    <w:p w14:paraId="17D629A3" w14:textId="77777777" w:rsidR="0017437C" w:rsidRPr="009A1767" w:rsidRDefault="0053037A">
      <w:pPr>
        <w:ind w:firstLine="640"/>
        <w:rPr>
          <w:rFonts w:hAnsi="黑体"/>
          <w:szCs w:val="32"/>
        </w:rPr>
      </w:pPr>
      <w:r w:rsidRPr="009A1767">
        <w:rPr>
          <w:rFonts w:hAnsi="黑体" w:hint="eastAsia"/>
          <w:bCs/>
          <w:szCs w:val="32"/>
        </w:rPr>
        <w:t>全力推进城镇排水管网雨污分流改造。</w:t>
      </w:r>
      <w:r w:rsidRPr="009A1767">
        <w:rPr>
          <w:rFonts w:hAnsi="黑体" w:hint="eastAsia"/>
          <w:szCs w:val="32"/>
        </w:rPr>
        <w:t>实施城镇排水管网雨污分流改造三年攻坚行动，推动重点工程加快完成，力争2023年全面完成市城区及县（</w:t>
      </w:r>
      <w:r w:rsidRPr="009A1767">
        <w:rPr>
          <w:rFonts w:hAnsi="仿宋_GB2312" w:cs="仿宋_GB2312" w:hint="eastAsia"/>
          <w:szCs w:val="32"/>
        </w:rPr>
        <w:t>市、区</w:t>
      </w:r>
      <w:r w:rsidRPr="009A1767">
        <w:rPr>
          <w:rFonts w:hAnsi="黑体" w:hint="eastAsia"/>
          <w:szCs w:val="32"/>
        </w:rPr>
        <w:t>）城区范围内市政雨污合流制排水管网分流改造。强化汛期污水直排管控，因地制宜开展易涝路段、易涝区域整治，最大程度消除汛期污水溢流和初期雨水污染。</w:t>
      </w:r>
    </w:p>
    <w:p w14:paraId="0E080D56" w14:textId="77777777" w:rsidR="0017437C" w:rsidRPr="009A1767" w:rsidRDefault="0053037A">
      <w:pPr>
        <w:ind w:firstLine="640"/>
        <w:rPr>
          <w:rFonts w:hAnsi="黑体"/>
          <w:szCs w:val="32"/>
        </w:rPr>
      </w:pPr>
      <w:r w:rsidRPr="009A1767">
        <w:rPr>
          <w:rFonts w:hAnsi="黑体" w:hint="eastAsia"/>
          <w:bCs/>
          <w:szCs w:val="32"/>
        </w:rPr>
        <w:t>加强建制镇污水处理设施建设。</w:t>
      </w:r>
      <w:r w:rsidRPr="009A1767">
        <w:rPr>
          <w:rFonts w:hAnsi="黑体" w:hint="eastAsia"/>
          <w:szCs w:val="32"/>
        </w:rPr>
        <w:t>按照“突出重点、先急后缓、由点带线、从线到面”的实施路径,以重点镇为引领，率先突破汾河流域建制镇，带动海河流域建制镇分步推进。</w:t>
      </w:r>
    </w:p>
    <w:p w14:paraId="65F45BC8" w14:textId="77777777" w:rsidR="0017437C" w:rsidRPr="009A1767" w:rsidRDefault="0053037A">
      <w:pPr>
        <w:ind w:firstLine="640"/>
        <w:rPr>
          <w:rFonts w:hAnsi="黑体"/>
          <w:szCs w:val="32"/>
        </w:rPr>
      </w:pPr>
      <w:r w:rsidRPr="009A1767">
        <w:rPr>
          <w:rFonts w:hAnsi="黑体" w:hint="eastAsia"/>
          <w:bCs/>
          <w:szCs w:val="32"/>
        </w:rPr>
        <w:t>持续推进工业污水治理。</w:t>
      </w:r>
      <w:r w:rsidRPr="009A1767">
        <w:rPr>
          <w:rFonts w:hAnsi="黑体" w:hint="eastAsia"/>
          <w:szCs w:val="32"/>
        </w:rPr>
        <w:t>对排入市政污水收集设施的工业企业进行排查和评估，不能被城镇污水处理厂有效处理或可能影响城镇污水处理厂出水稳定达标的，督促其限期退出。新增省级及以上工业集聚区应配套建设污水集中处理设施，新增化工园区废水全收集全处理，循环回用不外排。加强屠</w:t>
      </w:r>
      <w:r w:rsidRPr="009A1767">
        <w:rPr>
          <w:rFonts w:hAnsi="黑体" w:hint="eastAsia"/>
          <w:szCs w:val="32"/>
        </w:rPr>
        <w:lastRenderedPageBreak/>
        <w:t>宰、养殖、农副食品加工行业废水治理，加快高盐废水治理与资源回用。</w:t>
      </w:r>
    </w:p>
    <w:p w14:paraId="6A71E2B1" w14:textId="77777777" w:rsidR="0017437C" w:rsidRPr="009A1767" w:rsidRDefault="0053037A">
      <w:pPr>
        <w:ind w:firstLine="640"/>
        <w:rPr>
          <w:rFonts w:hAnsi="黑体"/>
          <w:szCs w:val="32"/>
        </w:rPr>
      </w:pPr>
      <w:r w:rsidRPr="009A1767">
        <w:rPr>
          <w:rFonts w:hAnsi="黑体" w:hint="eastAsia"/>
          <w:bCs/>
          <w:szCs w:val="32"/>
        </w:rPr>
        <w:t>补齐医疗机构污水处理设施短板。</w:t>
      </w:r>
      <w:r w:rsidRPr="009A1767">
        <w:rPr>
          <w:rFonts w:hAnsi="黑体" w:hint="eastAsia"/>
          <w:szCs w:val="32"/>
        </w:rPr>
        <w:t>开展医疗机构污水处理设施及污水管网排查，结合污水收集处理建设及运维管理要求实施整改。已建污水处理设施医疗机构要优化完善污水处理设施技术工艺，确保出水达标。加快对医疗污水收集管网错搭混接、漏损等现象的整改与修复，提高管网收集效率，确保医疗污水全部收集、全部处理。</w:t>
      </w:r>
    </w:p>
    <w:p w14:paraId="2E1294BE" w14:textId="77777777" w:rsidR="0017437C" w:rsidRPr="009A1767" w:rsidRDefault="0053037A">
      <w:pPr>
        <w:ind w:firstLine="640"/>
        <w:rPr>
          <w:szCs w:val="32"/>
        </w:rPr>
      </w:pPr>
      <w:r w:rsidRPr="009A1767">
        <w:rPr>
          <w:rFonts w:hAnsi="黑体" w:hint="eastAsia"/>
          <w:bCs/>
          <w:szCs w:val="32"/>
        </w:rPr>
        <w:t>强化污染排查管控。</w:t>
      </w:r>
      <w:r w:rsidRPr="009A1767">
        <w:rPr>
          <w:rFonts w:hAnsi="黑体" w:hint="eastAsia"/>
          <w:szCs w:val="32"/>
        </w:rPr>
        <w:t>开展春浇农业灌溉污染防治专项行动，严禁农田灌溉退水直接入河。</w:t>
      </w:r>
      <w:r w:rsidRPr="009A1767">
        <w:rPr>
          <w:rFonts w:hint="eastAsia"/>
          <w:szCs w:val="32"/>
        </w:rPr>
        <w:t>开展汛期污染强度分析，扎实推进城乡面源污染治理</w:t>
      </w:r>
      <w:r w:rsidRPr="009A1767">
        <w:rPr>
          <w:rFonts w:hAnsi="黑体" w:hint="eastAsia"/>
          <w:szCs w:val="32"/>
        </w:rPr>
        <w:t>和城市排水管控，</w:t>
      </w:r>
      <w:r w:rsidRPr="009A1767">
        <w:rPr>
          <w:rFonts w:hint="eastAsia"/>
          <w:szCs w:val="32"/>
        </w:rPr>
        <w:t>最大程度减少汛期雨水携带污水直排入河。</w:t>
      </w:r>
    </w:p>
    <w:p w14:paraId="19E0FAD8" w14:textId="77777777" w:rsidR="0017437C" w:rsidRPr="009A1767" w:rsidRDefault="0053037A">
      <w:pPr>
        <w:ind w:firstLine="640"/>
        <w:rPr>
          <w:rFonts w:hAnsi="黑体"/>
          <w:szCs w:val="32"/>
        </w:rPr>
      </w:pPr>
      <w:r w:rsidRPr="009A1767">
        <w:rPr>
          <w:rFonts w:hAnsi="黑体" w:hint="eastAsia"/>
          <w:bCs/>
          <w:szCs w:val="32"/>
        </w:rPr>
        <w:t>加大</w:t>
      </w:r>
      <w:r w:rsidRPr="009A1767">
        <w:rPr>
          <w:rFonts w:hAnsi="黑体"/>
          <w:bCs/>
          <w:szCs w:val="32"/>
        </w:rPr>
        <w:t>农村污水治理力度。</w:t>
      </w:r>
      <w:r w:rsidRPr="009A1767">
        <w:rPr>
          <w:rFonts w:hAnsi="黑体" w:hint="eastAsia"/>
          <w:szCs w:val="32"/>
        </w:rPr>
        <w:t>有序开展农村黑臭水体排查整治，将农村黑臭水体整治与生活污水、垃圾、种植、养殖等污染统筹治理。到2025年，基本消除较大面积农村黑臭水体。因地制宜选用生活污水处理设施集中处理、厕所粪污无害化和资源化分散处理等模式，分区分类推进农村生活污水治理。到2025年，新增完成250个以上行政村农村生活污水治理，治理率达到25%。</w:t>
      </w:r>
    </w:p>
    <w:p w14:paraId="6703DE53" w14:textId="77777777" w:rsidR="0017437C" w:rsidRPr="009A1767" w:rsidRDefault="0053037A">
      <w:pPr>
        <w:ind w:firstLine="640"/>
        <w:rPr>
          <w:rFonts w:ascii="楷体" w:eastAsia="楷体" w:hAnsi="楷体" w:cs="仿宋_GB2312"/>
          <w:color w:val="0000FF"/>
          <w:szCs w:val="32"/>
          <w:u w:val="single"/>
        </w:rPr>
      </w:pPr>
      <w:r w:rsidRPr="009A1767">
        <w:rPr>
          <w:rFonts w:ascii="楷体" w:eastAsia="楷体" w:hAnsi="楷体" w:cs="仿宋_GB2312" w:hint="eastAsia"/>
          <w:color w:val="0000FF"/>
          <w:szCs w:val="32"/>
          <w:u w:val="single"/>
        </w:rPr>
        <w:t>（五）坚持协同共治，保障土壤和地下水环境安全。</w:t>
      </w:r>
    </w:p>
    <w:p w14:paraId="1A74F64A"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1</w:t>
      </w:r>
      <w:r w:rsidRPr="009A1767">
        <w:rPr>
          <w:rFonts w:hAnsi="仿宋_GB2312" w:cs="仿宋_GB2312"/>
          <w:color w:val="0000FF"/>
          <w:szCs w:val="32"/>
          <w:u w:val="single"/>
        </w:rPr>
        <w:t>.</w:t>
      </w:r>
      <w:r w:rsidRPr="009A1767">
        <w:rPr>
          <w:rFonts w:hAnsi="仿宋_GB2312" w:cs="仿宋_GB2312" w:hint="eastAsia"/>
          <w:szCs w:val="32"/>
        </w:rPr>
        <w:t>推进农用地分类管理与安全利用。</w:t>
      </w:r>
    </w:p>
    <w:p w14:paraId="14192A16" w14:textId="77777777" w:rsidR="0017437C" w:rsidRPr="009A1767" w:rsidRDefault="0053037A">
      <w:pPr>
        <w:ind w:firstLine="640"/>
        <w:rPr>
          <w:rFonts w:hAnsi="仿宋_GB2312" w:cs="仿宋_GB2312"/>
          <w:szCs w:val="32"/>
        </w:rPr>
      </w:pPr>
      <w:r w:rsidRPr="009A1767">
        <w:rPr>
          <w:rFonts w:hAnsi="仿宋_GB2312" w:cs="仿宋_GB2312" w:hint="eastAsia"/>
          <w:bCs/>
          <w:szCs w:val="32"/>
        </w:rPr>
        <w:lastRenderedPageBreak/>
        <w:t>加强耕地污染源头控制。</w:t>
      </w:r>
      <w:r w:rsidRPr="009A1767">
        <w:rPr>
          <w:rFonts w:hAnsi="仿宋_GB2312" w:cs="仿宋_GB2312" w:hint="eastAsia"/>
          <w:szCs w:val="32"/>
        </w:rPr>
        <w:t>严格涉重金属污染防控，深入实施耕地周边涉镉等重金属行业企业排查，对已完成整治的污染源开展“回头看”，将涉重金属行业企业纳入重点排污单位名录，强化重金属污染物排放控制，有效防范涉重金属环境风险。</w:t>
      </w:r>
      <w:r w:rsidRPr="009A1767">
        <w:rPr>
          <w:rFonts w:hAnsi="仿宋_GB2312" w:cs="仿宋_GB2312"/>
          <w:szCs w:val="32"/>
        </w:rPr>
        <w:t xml:space="preserve"> </w:t>
      </w:r>
    </w:p>
    <w:p w14:paraId="2470401F" w14:textId="77777777" w:rsidR="0017437C" w:rsidRPr="009A1767" w:rsidRDefault="0053037A">
      <w:pPr>
        <w:ind w:firstLine="640"/>
        <w:rPr>
          <w:rFonts w:hAnsi="微软雅黑" w:cs="宋体"/>
          <w:kern w:val="0"/>
          <w:szCs w:val="32"/>
        </w:rPr>
      </w:pPr>
      <w:r w:rsidRPr="009A1767">
        <w:rPr>
          <w:rFonts w:hAnsi="仿宋_GB2312" w:cs="仿宋_GB2312" w:hint="eastAsia"/>
          <w:bCs/>
          <w:szCs w:val="32"/>
        </w:rPr>
        <w:t>加大优先保护类耕地保护力度。</w:t>
      </w:r>
      <w:r w:rsidRPr="009A1767">
        <w:rPr>
          <w:rFonts w:hAnsi="微软雅黑" w:cs="宋体" w:hint="eastAsia"/>
          <w:kern w:val="0"/>
          <w:szCs w:val="32"/>
        </w:rPr>
        <w:t>坚持最严格的耕地保护制度，对优先保护类耕地实行严格保护，</w:t>
      </w:r>
      <w:r w:rsidRPr="009A1767">
        <w:rPr>
          <w:rFonts w:hAnsi="仿宋_GB2312" w:cs="仿宋_GB2312" w:hint="eastAsia"/>
          <w:szCs w:val="32"/>
        </w:rPr>
        <w:t>确保其面积不减少、土壤环境质量不下降</w:t>
      </w:r>
      <w:r w:rsidRPr="009A1767">
        <w:rPr>
          <w:rFonts w:hAnsi="微软雅黑" w:cs="宋体" w:hint="eastAsia"/>
          <w:kern w:val="0"/>
          <w:szCs w:val="32"/>
        </w:rPr>
        <w:t>。</w:t>
      </w:r>
    </w:p>
    <w:p w14:paraId="0158AC99" w14:textId="77777777" w:rsidR="0017437C" w:rsidRPr="009A1767" w:rsidRDefault="0053037A">
      <w:pPr>
        <w:ind w:firstLine="640"/>
        <w:rPr>
          <w:rFonts w:hAnsi="仿宋_GB2312" w:cs="仿宋_GB2312"/>
          <w:szCs w:val="32"/>
        </w:rPr>
      </w:pPr>
      <w:r w:rsidRPr="009A1767">
        <w:rPr>
          <w:rFonts w:hAnsi="仿宋_GB2312" w:cs="仿宋_GB2312" w:hint="eastAsia"/>
          <w:bCs/>
          <w:szCs w:val="32"/>
        </w:rPr>
        <w:t>加强严格管控类耕地用途管理。</w:t>
      </w:r>
      <w:r w:rsidRPr="009A1767">
        <w:rPr>
          <w:rFonts w:hAnsi="仿宋_GB2312" w:cs="仿宋_GB2312" w:hint="eastAsia"/>
          <w:szCs w:val="32"/>
        </w:rPr>
        <w:t>依法划定特定农产品严格管控区域，严禁种植食用农产品。鼓励采取种植结构调整、退耕还林还草等措施，鼓励对严格管控类耕地种植的植物收获物采取离田措施，鼓励有条件的地区通过客土置换、生物修复等措施，逐步降低土壤中污染物浓度，确保严格管控类耕地面积不增加。</w:t>
      </w:r>
    </w:p>
    <w:p w14:paraId="41E21A10"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2</w:t>
      </w:r>
      <w:r w:rsidRPr="009A1767">
        <w:rPr>
          <w:rFonts w:hAnsi="仿宋_GB2312" w:cs="仿宋_GB2312"/>
          <w:color w:val="0000FF"/>
          <w:szCs w:val="32"/>
          <w:u w:val="single"/>
        </w:rPr>
        <w:t>.</w:t>
      </w:r>
      <w:r w:rsidRPr="009A1767">
        <w:rPr>
          <w:rFonts w:hAnsi="仿宋_GB2312" w:cs="仿宋_GB2312" w:hint="eastAsia"/>
          <w:szCs w:val="32"/>
        </w:rPr>
        <w:t>严控建设用地土壤环境风险。</w:t>
      </w:r>
    </w:p>
    <w:p w14:paraId="1A0E9F4C" w14:textId="77777777" w:rsidR="0017437C" w:rsidRPr="009A1767" w:rsidRDefault="0053037A">
      <w:pPr>
        <w:ind w:firstLine="640"/>
        <w:rPr>
          <w:rFonts w:hAnsi="黑体"/>
          <w:szCs w:val="32"/>
        </w:rPr>
      </w:pPr>
      <w:r w:rsidRPr="009A1767">
        <w:rPr>
          <w:rFonts w:hAnsi="仿宋_GB2312" w:cs="仿宋_GB2312" w:hint="eastAsia"/>
          <w:bCs/>
          <w:szCs w:val="32"/>
        </w:rPr>
        <w:t>加强重点行业企业用地土壤污染风险管控。</w:t>
      </w:r>
      <w:r w:rsidRPr="009A1767">
        <w:rPr>
          <w:rFonts w:hAnsi="仿宋_GB2312" w:cs="仿宋_GB2312" w:hint="eastAsia"/>
          <w:szCs w:val="32"/>
        </w:rPr>
        <w:t>逐年动态更新</w:t>
      </w:r>
      <w:r w:rsidRPr="009A1767">
        <w:rPr>
          <w:rFonts w:hAnsi="黑体" w:hint="eastAsia"/>
          <w:szCs w:val="32"/>
        </w:rPr>
        <w:t>土壤环境重点监管企业名录。以重点监管企业为重点，强化重点行业企业用地土壤日常监管，着重</w:t>
      </w:r>
      <w:r w:rsidRPr="009A1767">
        <w:rPr>
          <w:rFonts w:hAnsi="仿宋_GB2312" w:cs="仿宋_GB2312" w:hint="eastAsia"/>
          <w:szCs w:val="32"/>
        </w:rPr>
        <w:t>加强</w:t>
      </w:r>
      <w:r w:rsidRPr="009A1767">
        <w:rPr>
          <w:rFonts w:hAnsi="黑体" w:hint="eastAsia"/>
          <w:szCs w:val="32"/>
        </w:rPr>
        <w:t>和规范土壤环境风险隐患排查和自行监测的实施。鼓励土壤污染重点监管单位因地制宜实施管道化、密闭化改造，重点区域防腐防渗改造以及物料、污水、废气管线架空建设和改造，从源头上</w:t>
      </w:r>
      <w:r w:rsidRPr="009A1767">
        <w:rPr>
          <w:rFonts w:hAnsi="黑体" w:hint="eastAsia"/>
          <w:szCs w:val="32"/>
        </w:rPr>
        <w:lastRenderedPageBreak/>
        <w:t>消除土壤污染。</w:t>
      </w:r>
    </w:p>
    <w:p w14:paraId="3E01F07D" w14:textId="77777777" w:rsidR="0017437C" w:rsidRPr="009A1767" w:rsidRDefault="0053037A">
      <w:pPr>
        <w:ind w:firstLine="640"/>
        <w:rPr>
          <w:rFonts w:hAnsi="仿宋_GB2312" w:cs="仿宋_GB2312"/>
          <w:szCs w:val="32"/>
        </w:rPr>
      </w:pPr>
      <w:r w:rsidRPr="009A1767">
        <w:rPr>
          <w:rFonts w:hAnsi="黑体" w:hint="eastAsia"/>
          <w:bCs/>
          <w:szCs w:val="32"/>
        </w:rPr>
        <w:t>持续加强建设用地再开发利用准入管理。</w:t>
      </w:r>
      <w:r w:rsidRPr="009A1767">
        <w:rPr>
          <w:rFonts w:hAnsi="仿宋_GB2312" w:cs="仿宋_GB2312" w:hint="eastAsia"/>
          <w:szCs w:val="32"/>
        </w:rPr>
        <w:t>将建设用地土壤环境管理要求纳入城市规划和供地管理，土地开发利用符合土壤环境要求。建设用地用途变更时，应按照《土壤污染防治法》、《山西省土壤污染防治条例》规定情形开展土壤污染状况调查。未达到土壤污染风险评估报告确定的风险管控、修复目标的建设用地地块，禁止开工建设任何与风险管控、修复无关的项目。</w:t>
      </w:r>
    </w:p>
    <w:p w14:paraId="6B73C8FE" w14:textId="77777777" w:rsidR="0017437C" w:rsidRPr="009A1767" w:rsidRDefault="0053037A">
      <w:pPr>
        <w:ind w:firstLine="640"/>
        <w:rPr>
          <w:rFonts w:hAnsi="仿宋_GB2312" w:cs="仿宋_GB2312"/>
          <w:szCs w:val="32"/>
        </w:rPr>
      </w:pPr>
      <w:r w:rsidRPr="009A1767">
        <w:rPr>
          <w:rFonts w:hAnsi="仿宋_GB2312" w:cs="仿宋_GB2312" w:hint="eastAsia"/>
          <w:bCs/>
          <w:szCs w:val="32"/>
        </w:rPr>
        <w:t>加强土壤污染预防和保护。</w:t>
      </w:r>
      <w:r w:rsidRPr="009A1767">
        <w:rPr>
          <w:rFonts w:hAnsi="仿宋_GB2312" w:cs="仿宋_GB2312" w:hint="eastAsia"/>
          <w:szCs w:val="32"/>
        </w:rPr>
        <w:t>强化空间管控，加强规划和建设项目布局论证，合理确定区域功能定位、空间布局。严格环境准入。进一步推动固体废物、危险废物和土壤环境、地下水环境之间的协同控制。加强在实施土地综合整治、废弃矿山整治、绿色矿山建设等山水林田湖整治过程中土壤和地下水的预防、保护与管控的要求。</w:t>
      </w:r>
    </w:p>
    <w:p w14:paraId="53F2B374" w14:textId="77777777" w:rsidR="0017437C" w:rsidRPr="009A1767" w:rsidRDefault="0053037A">
      <w:pPr>
        <w:ind w:firstLine="640"/>
        <w:rPr>
          <w:rFonts w:hAnsi="仿宋_GB2312" w:cs="仿宋_GB2312"/>
          <w:szCs w:val="32"/>
        </w:rPr>
      </w:pPr>
      <w:r w:rsidRPr="009A1767">
        <w:rPr>
          <w:rFonts w:hAnsi="仿宋_GB2312" w:cs="仿宋_GB2312" w:hint="eastAsia"/>
          <w:bCs/>
          <w:szCs w:val="32"/>
        </w:rPr>
        <w:t>强化污染地块风险管控。</w:t>
      </w:r>
      <w:r w:rsidRPr="009A1767">
        <w:rPr>
          <w:rFonts w:hAnsi="仿宋_GB2312" w:cs="仿宋_GB2312" w:hint="eastAsia"/>
          <w:szCs w:val="32"/>
        </w:rPr>
        <w:t>强化风险管控意识，对暂不开发利用或者现阶段不具备修复条件的污染地块，所在地县级人民政府自然资源主管部门应当会同生态环境、住房和城乡建设等主管部门组织划定管控区域，设立标识，发布公告，并由污染地块土壤污染责任人或者土地使用权人负责落实相关管控措施。</w:t>
      </w:r>
    </w:p>
    <w:p w14:paraId="20DB5AA9"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3</w:t>
      </w:r>
      <w:r w:rsidRPr="009A1767">
        <w:rPr>
          <w:rFonts w:hAnsi="仿宋_GB2312" w:cs="仿宋_GB2312"/>
          <w:color w:val="0000FF"/>
          <w:szCs w:val="32"/>
          <w:u w:val="single"/>
        </w:rPr>
        <w:t>.</w:t>
      </w:r>
      <w:r w:rsidRPr="009A1767">
        <w:rPr>
          <w:rFonts w:hAnsi="仿宋_GB2312" w:cs="仿宋_GB2312" w:hint="eastAsia"/>
          <w:szCs w:val="32"/>
        </w:rPr>
        <w:t>协同推进地下水污染防治。</w:t>
      </w:r>
    </w:p>
    <w:p w14:paraId="1A31BFFE" w14:textId="77777777" w:rsidR="0017437C" w:rsidRPr="009A1767" w:rsidRDefault="0053037A">
      <w:pPr>
        <w:ind w:firstLine="640"/>
        <w:rPr>
          <w:rFonts w:hAnsi="仿宋_GB2312" w:cs="仿宋_GB2312"/>
          <w:szCs w:val="32"/>
        </w:rPr>
      </w:pPr>
      <w:r w:rsidRPr="009A1767">
        <w:rPr>
          <w:rFonts w:hAnsi="仿宋_GB2312" w:cs="仿宋_GB2312" w:hint="eastAsia"/>
          <w:bCs/>
          <w:szCs w:val="32"/>
        </w:rPr>
        <w:lastRenderedPageBreak/>
        <w:t>推进地下水环境状况调查评估。</w:t>
      </w:r>
      <w:r w:rsidRPr="009A1767">
        <w:rPr>
          <w:rFonts w:hAnsi="仿宋_GB2312" w:cs="仿宋_GB2312" w:hint="eastAsia"/>
          <w:szCs w:val="32"/>
        </w:rPr>
        <w:t>完成“双源”地下水环境状况调查评估，识别可能存在的污染源，研判风险等级，建立完善地下水型饮用水源补给区内优先管控污染源清单，保障地下水型饮用水源环境安全。2022年底，完成化工园区地下水环境状况调查评估；2024年前，完成全市地下水环境状况调查评估。</w:t>
      </w:r>
    </w:p>
    <w:p w14:paraId="019F2867" w14:textId="77777777" w:rsidR="0017437C" w:rsidRPr="009A1767" w:rsidRDefault="0053037A">
      <w:pPr>
        <w:ind w:firstLine="640"/>
        <w:rPr>
          <w:rFonts w:hAnsi="仿宋_GB2312" w:cs="仿宋_GB2312"/>
          <w:szCs w:val="32"/>
        </w:rPr>
      </w:pPr>
      <w:r w:rsidRPr="009A1767">
        <w:rPr>
          <w:rFonts w:hAnsi="仿宋_GB2312" w:cs="仿宋_GB2312" w:hint="eastAsia"/>
          <w:bCs/>
          <w:szCs w:val="32"/>
        </w:rPr>
        <w:t>推进地下水污染风险管控。</w:t>
      </w:r>
      <w:r w:rsidRPr="009A1767">
        <w:rPr>
          <w:rFonts w:hAnsi="仿宋_GB2312" w:cs="仿宋_GB2312" w:hint="eastAsia"/>
          <w:szCs w:val="32"/>
        </w:rPr>
        <w:t>探索地下水环境风险管控，强化工业集聚区、危险废物处置场和生活垃圾填埋场等地下水污染风险管控。建立报废矿井、钻井和取水井等清单，针对风险较大的报废矿井、钻井，实施封井回填，防止地下水串层污染。</w:t>
      </w:r>
    </w:p>
    <w:p w14:paraId="51DDA293" w14:textId="77777777" w:rsidR="0017437C" w:rsidRPr="009A1767" w:rsidRDefault="0053037A">
      <w:pPr>
        <w:ind w:firstLine="640"/>
        <w:rPr>
          <w:rFonts w:hAnsi="仿宋_GB2312" w:cs="仿宋_GB2312"/>
          <w:szCs w:val="32"/>
        </w:rPr>
      </w:pPr>
      <w:r w:rsidRPr="009A1767">
        <w:rPr>
          <w:rFonts w:hAnsi="仿宋_GB2312" w:cs="仿宋_GB2312" w:hint="eastAsia"/>
          <w:bCs/>
          <w:szCs w:val="32"/>
        </w:rPr>
        <w:t>强化土壤与地下水污染协同防治。</w:t>
      </w:r>
      <w:r w:rsidRPr="009A1767">
        <w:rPr>
          <w:rFonts w:hAnsi="仿宋_GB2312" w:cs="仿宋_GB2312" w:hint="eastAsia"/>
          <w:szCs w:val="32"/>
        </w:rPr>
        <w:t>力争做到土壤与地下水污染防治统筹安排、同步考虑、同步落实。</w:t>
      </w:r>
      <w:r w:rsidRPr="009A1767">
        <w:rPr>
          <w:rFonts w:hAnsi="黑体" w:hint="eastAsia"/>
          <w:szCs w:val="32"/>
        </w:rPr>
        <w:t>统筹考虑地下水污染防治工作的轻重缓急，根据地下水环境状况调查评估等结果，开展地下水污染修复试点示范，并逐步</w:t>
      </w:r>
      <w:r w:rsidRPr="009A1767">
        <w:rPr>
          <w:rFonts w:hAnsi="仿宋_GB2312" w:cs="仿宋_GB2312" w:hint="eastAsia"/>
          <w:szCs w:val="32"/>
        </w:rPr>
        <w:t>拓展地下水修复试点领域、区域和范围</w:t>
      </w:r>
      <w:r w:rsidRPr="009A1767">
        <w:rPr>
          <w:rFonts w:hAnsi="黑体" w:hint="eastAsia"/>
          <w:szCs w:val="32"/>
        </w:rPr>
        <w:t>，推动地下水环境质量持续改善。</w:t>
      </w:r>
    </w:p>
    <w:p w14:paraId="3EB2D338" w14:textId="77777777" w:rsidR="0017437C" w:rsidRPr="009A1767" w:rsidRDefault="0053037A">
      <w:pPr>
        <w:ind w:firstLine="640"/>
        <w:rPr>
          <w:rFonts w:ascii="楷体" w:eastAsia="楷体" w:hAnsi="楷体" w:cs="仿宋_GB2312"/>
          <w:color w:val="0000FF"/>
          <w:szCs w:val="32"/>
          <w:u w:val="single"/>
        </w:rPr>
      </w:pPr>
      <w:r w:rsidRPr="009A1767">
        <w:rPr>
          <w:rFonts w:ascii="楷体" w:eastAsia="楷体" w:hAnsi="楷体" w:cs="仿宋_GB2312" w:hint="eastAsia"/>
          <w:color w:val="0000FF"/>
          <w:szCs w:val="32"/>
          <w:u w:val="single"/>
        </w:rPr>
        <w:t>（六）坚持分类管理，推进固体废物污染防治。</w:t>
      </w:r>
    </w:p>
    <w:p w14:paraId="6D5DED46"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1</w:t>
      </w:r>
      <w:r w:rsidRPr="009A1767">
        <w:rPr>
          <w:rFonts w:hAnsi="仿宋_GB2312" w:cs="仿宋_GB2312"/>
          <w:color w:val="0000FF"/>
          <w:szCs w:val="32"/>
          <w:u w:val="single"/>
        </w:rPr>
        <w:t>.</w:t>
      </w:r>
      <w:r w:rsidRPr="009A1767">
        <w:rPr>
          <w:rFonts w:hAnsi="仿宋_GB2312" w:cs="仿宋_GB2312" w:hint="eastAsia"/>
          <w:szCs w:val="32"/>
        </w:rPr>
        <w:t>强化工业固废污染防治。</w:t>
      </w:r>
    </w:p>
    <w:p w14:paraId="47647FC7" w14:textId="77777777" w:rsidR="0017437C" w:rsidRPr="009A1767" w:rsidRDefault="0053037A">
      <w:pPr>
        <w:ind w:firstLine="640"/>
        <w:rPr>
          <w:rFonts w:hAnsi="黑体"/>
          <w:b/>
          <w:szCs w:val="32"/>
        </w:rPr>
      </w:pPr>
      <w:r w:rsidRPr="009A1767">
        <w:rPr>
          <w:rFonts w:hAnsi="黑体" w:hint="eastAsia"/>
          <w:bCs/>
          <w:szCs w:val="32"/>
        </w:rPr>
        <w:t>推进工业固体废物源头削减。</w:t>
      </w:r>
      <w:r w:rsidRPr="009A1767">
        <w:rPr>
          <w:rFonts w:hAnsi="黑体" w:hint="eastAsia"/>
          <w:szCs w:val="32"/>
        </w:rPr>
        <w:t>严格控制新建、扩建固体废物产生量大、区域难以实现有效综合利用和无害化处置的项目。推行绿色供应链管理，发挥大企业及大型零售商带动</w:t>
      </w:r>
      <w:r w:rsidRPr="009A1767">
        <w:rPr>
          <w:rFonts w:hAnsi="黑体" w:hint="eastAsia"/>
          <w:szCs w:val="32"/>
        </w:rPr>
        <w:lastRenderedPageBreak/>
        <w:t>作用，培育固体废物产生量小、循环利用率高的示范企业。构建工业、农业、生活等领域间资源和能源梯级利用、循环利用体系。</w:t>
      </w:r>
    </w:p>
    <w:p w14:paraId="7586DE1D" w14:textId="77777777" w:rsidR="0017437C" w:rsidRPr="009A1767" w:rsidRDefault="0053037A">
      <w:pPr>
        <w:ind w:firstLine="640"/>
        <w:rPr>
          <w:rFonts w:hAnsi="黑体"/>
          <w:b/>
          <w:szCs w:val="32"/>
        </w:rPr>
      </w:pPr>
      <w:r w:rsidRPr="009A1767">
        <w:rPr>
          <w:rFonts w:hAnsi="黑体" w:hint="eastAsia"/>
          <w:bCs/>
          <w:szCs w:val="32"/>
        </w:rPr>
        <w:t>拓展大宗工业固体废物综合利用途径。</w:t>
      </w:r>
      <w:r w:rsidRPr="009A1767">
        <w:rPr>
          <w:rFonts w:hAnsi="黑体" w:hint="eastAsia"/>
          <w:szCs w:val="32"/>
        </w:rPr>
        <w:t>创新大宗固废综合利用模式。创新大宗固废协同利用机制。围绕产生量大的工业园区、产业聚集区，就近布局资源综合利用项目，培育和扶持工业固废综合利用骨干企业，推动工业固废综合利用产业集聚发展。</w:t>
      </w:r>
    </w:p>
    <w:p w14:paraId="52040328" w14:textId="77777777" w:rsidR="0017437C" w:rsidRPr="009A1767" w:rsidRDefault="0053037A">
      <w:pPr>
        <w:ind w:firstLine="640"/>
        <w:rPr>
          <w:rFonts w:hAnsi="黑体"/>
          <w:szCs w:val="32"/>
        </w:rPr>
      </w:pPr>
      <w:r w:rsidRPr="009A1767">
        <w:rPr>
          <w:rFonts w:hAnsi="黑体" w:hint="eastAsia"/>
          <w:bCs/>
          <w:szCs w:val="32"/>
        </w:rPr>
        <w:t>降低尾矿库环境风险。</w:t>
      </w:r>
      <w:r w:rsidRPr="009A1767">
        <w:rPr>
          <w:rFonts w:hAnsi="黑体" w:hint="eastAsia"/>
          <w:szCs w:val="32"/>
        </w:rPr>
        <w:t>建立尾矿库全口径环境监管清单，压实尾矿库企业污染防治主体责任，全面摸清尾矿库污染产生环节、污染防治措施、特征污染物及环境敏感目标，做好环境风险隐患排查。开展尾矿库环境风险评估、环境应急预案及备案，实施尾矿库环境应急演练，提高突发环境事件应急处置能力。制定污染防治方案，实施问题治理，完善环境风险与治理档案，实现“一库一档”。</w:t>
      </w:r>
    </w:p>
    <w:p w14:paraId="7EFA02D9" w14:textId="77777777" w:rsidR="0017437C" w:rsidRPr="009A1767" w:rsidRDefault="0053037A">
      <w:pPr>
        <w:ind w:firstLine="640"/>
        <w:rPr>
          <w:rFonts w:hAnsi="黑体"/>
          <w:b/>
          <w:szCs w:val="32"/>
        </w:rPr>
      </w:pPr>
      <w:r w:rsidRPr="009A1767">
        <w:rPr>
          <w:rFonts w:hAnsi="黑体" w:hint="eastAsia"/>
          <w:bCs/>
          <w:szCs w:val="32"/>
        </w:rPr>
        <w:t>加强工业固体废物监管。</w:t>
      </w:r>
      <w:r w:rsidRPr="009A1767">
        <w:rPr>
          <w:rFonts w:hAnsi="黑体" w:hint="eastAsia"/>
          <w:szCs w:val="32"/>
        </w:rPr>
        <w:t>完善工业固体废物污染防治制度，健全环保长效监督管理制度。严格建设项目环评审批，把固体废物处理能力作为生产能力的前置条件。落实固体废物堆场“防扬散、防流失、防渗漏”污染防治要求，全面完成工业固体废物堆场规范化整治。建立部门和区域联防联控机制，</w:t>
      </w:r>
      <w:r w:rsidRPr="009A1767">
        <w:rPr>
          <w:rFonts w:hint="eastAsia"/>
          <w:szCs w:val="32"/>
        </w:rPr>
        <w:t>严厉打击擅自倾倒、堆放、丢弃、遗撒工业固体废物、</w:t>
      </w:r>
      <w:r w:rsidRPr="009A1767">
        <w:rPr>
          <w:rFonts w:hint="eastAsia"/>
          <w:szCs w:val="32"/>
        </w:rPr>
        <w:lastRenderedPageBreak/>
        <w:t>未依法及时公开固体废物污染环境防治信息、贮存工业固体废物未采取符合国家环境保护标准的防护措施等违法行为。</w:t>
      </w:r>
    </w:p>
    <w:p w14:paraId="584C3F8F"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2</w:t>
      </w:r>
      <w:r w:rsidRPr="009A1767">
        <w:rPr>
          <w:rFonts w:hAnsi="仿宋_GB2312" w:cs="仿宋_GB2312"/>
          <w:color w:val="0000FF"/>
          <w:szCs w:val="32"/>
          <w:u w:val="single"/>
        </w:rPr>
        <w:t>.</w:t>
      </w:r>
      <w:r w:rsidRPr="009A1767">
        <w:rPr>
          <w:rFonts w:hAnsi="仿宋_GB2312" w:cs="仿宋_GB2312" w:hint="eastAsia"/>
          <w:szCs w:val="32"/>
        </w:rPr>
        <w:t>推进生活垃圾分类处理。</w:t>
      </w:r>
    </w:p>
    <w:p w14:paraId="002F2D31" w14:textId="77777777" w:rsidR="0017437C" w:rsidRPr="009A1767" w:rsidRDefault="0053037A">
      <w:pPr>
        <w:ind w:firstLine="640"/>
        <w:rPr>
          <w:rFonts w:hAnsi="仿宋_GB2312" w:cs="仿宋_GB2312"/>
          <w:szCs w:val="32"/>
        </w:rPr>
      </w:pPr>
      <w:r w:rsidRPr="009A1767">
        <w:rPr>
          <w:rFonts w:hAnsi="仿宋_GB2312" w:cs="仿宋_GB2312" w:hint="eastAsia"/>
          <w:bCs/>
          <w:szCs w:val="32"/>
        </w:rPr>
        <w:t>深化生活垃圾分类减量与利用。</w:t>
      </w:r>
      <w:r w:rsidRPr="009A1767">
        <w:rPr>
          <w:rFonts w:hAnsi="仿宋_GB2312" w:cs="仿宋_GB2312" w:hint="eastAsia"/>
          <w:szCs w:val="32"/>
        </w:rPr>
        <w:t>深入推进生活垃圾分类工作。提高塑料废弃物资源化利用，降低塑料垃圾直接填埋量。健全强制报废制度和废旧家电、消费电子等耐用消费品回收处理体系。促进废弃电器电子产品规范拆解处理。</w:t>
      </w:r>
    </w:p>
    <w:p w14:paraId="2CE554EB" w14:textId="77777777" w:rsidR="0017437C" w:rsidRPr="009A1767" w:rsidRDefault="0053037A">
      <w:pPr>
        <w:ind w:firstLine="640"/>
      </w:pPr>
      <w:r w:rsidRPr="009A1767">
        <w:rPr>
          <w:rFonts w:hAnsi="仿宋_GB2312" w:cs="仿宋_GB2312" w:hint="eastAsia"/>
          <w:bCs/>
          <w:szCs w:val="32"/>
        </w:rPr>
        <w:t>完善垃圾分类设施体系。</w:t>
      </w:r>
      <w:r w:rsidRPr="009A1767">
        <w:rPr>
          <w:rFonts w:hAnsi="仿宋_GB2312" w:cs="仿宋_GB2312" w:hint="eastAsia"/>
          <w:szCs w:val="32"/>
        </w:rPr>
        <w:t>规范垃圾分类投放方式。健全分类收集设施。完善分类转运设施。完善</w:t>
      </w:r>
      <w:r w:rsidRPr="009A1767">
        <w:rPr>
          <w:rFonts w:hint="eastAsia"/>
        </w:rPr>
        <w:t>农村生活垃圾收运处置体系。</w:t>
      </w:r>
    </w:p>
    <w:p w14:paraId="74F783FA" w14:textId="77777777" w:rsidR="0017437C" w:rsidRPr="009A1767" w:rsidRDefault="0053037A">
      <w:pPr>
        <w:ind w:firstLine="640"/>
        <w:rPr>
          <w:rFonts w:hAnsi="仿宋_GB2312" w:cs="仿宋_GB2312"/>
          <w:szCs w:val="32"/>
        </w:rPr>
      </w:pPr>
      <w:r w:rsidRPr="009A1767">
        <w:rPr>
          <w:rFonts w:hAnsi="仿宋_GB2312" w:cs="仿宋_GB2312" w:hint="eastAsia"/>
          <w:bCs/>
          <w:szCs w:val="32"/>
        </w:rPr>
        <w:t>提高生活垃圾处置能力。</w:t>
      </w:r>
      <w:r w:rsidRPr="009A1767">
        <w:rPr>
          <w:rFonts w:hAnsi="仿宋_GB2312" w:cs="仿宋_GB2312" w:hint="eastAsia"/>
          <w:szCs w:val="32"/>
        </w:rPr>
        <w:t>统筹规划生活垃圾焚烧处理设施建设，鼓励利用现有生活垃圾处理设施用地，不断提升生活垃圾焚烧处理占比。推动市城区</w:t>
      </w:r>
      <w:r w:rsidRPr="009A1767">
        <w:rPr>
          <w:rFonts w:hint="eastAsia"/>
        </w:rPr>
        <w:t>生活垃圾焚烧发电项目稳定运行，市城区基本实现</w:t>
      </w:r>
      <w:r w:rsidRPr="009A1767">
        <w:rPr>
          <w:rFonts w:hAnsi="仿宋_GB2312" w:cs="仿宋_GB2312" w:hint="eastAsia"/>
          <w:szCs w:val="32"/>
        </w:rPr>
        <w:t>原生生活垃圾“零填埋”，远期兼顾太谷区、寿阳县生活垃圾焚烧处理；鼓励平遥、祁县以及和顺、昔阳、榆社、左权通过跨县域共建共享方式建设焚烧处理设施。</w:t>
      </w:r>
    </w:p>
    <w:p w14:paraId="568EF66B" w14:textId="77777777" w:rsidR="0017437C" w:rsidRPr="009A1767" w:rsidRDefault="0053037A">
      <w:pPr>
        <w:ind w:firstLine="640"/>
        <w:rPr>
          <w:rFonts w:hAnsi="仿宋_GB2312" w:cs="仿宋_GB2312"/>
          <w:szCs w:val="32"/>
        </w:rPr>
      </w:pPr>
      <w:r w:rsidRPr="009A1767">
        <w:rPr>
          <w:rFonts w:hAnsi="仿宋_GB2312" w:cs="仿宋_GB2312" w:hint="eastAsia"/>
          <w:color w:val="0000FF"/>
          <w:szCs w:val="32"/>
          <w:u w:val="single"/>
        </w:rPr>
        <w:t>3</w:t>
      </w:r>
      <w:r w:rsidRPr="009A1767">
        <w:rPr>
          <w:rFonts w:hAnsi="仿宋_GB2312" w:cs="仿宋_GB2312"/>
          <w:color w:val="0000FF"/>
          <w:szCs w:val="32"/>
          <w:u w:val="single"/>
        </w:rPr>
        <w:t>.</w:t>
      </w:r>
      <w:r w:rsidRPr="009A1767">
        <w:rPr>
          <w:rFonts w:hAnsi="仿宋_GB2312" w:cs="仿宋_GB2312" w:hint="eastAsia"/>
          <w:szCs w:val="32"/>
        </w:rPr>
        <w:t>强化危险废物环境监管。</w:t>
      </w:r>
    </w:p>
    <w:p w14:paraId="45905697" w14:textId="77777777" w:rsidR="0017437C" w:rsidRPr="009A1767" w:rsidRDefault="0053037A">
      <w:pPr>
        <w:autoSpaceDE w:val="0"/>
        <w:autoSpaceDN w:val="0"/>
        <w:adjustRightInd w:val="0"/>
        <w:ind w:firstLine="640"/>
        <w:rPr>
          <w:rFonts w:hAnsi="黑体"/>
          <w:szCs w:val="32"/>
        </w:rPr>
      </w:pPr>
      <w:r w:rsidRPr="009A1767">
        <w:rPr>
          <w:rFonts w:hAnsi="黑体" w:hint="eastAsia"/>
          <w:bCs/>
          <w:szCs w:val="32"/>
        </w:rPr>
        <w:t>加强危险废物全过程监管。</w:t>
      </w:r>
      <w:r w:rsidRPr="009A1767">
        <w:rPr>
          <w:rFonts w:hAnsi="黑体" w:hint="eastAsia"/>
          <w:szCs w:val="32"/>
        </w:rPr>
        <w:t>严守危险废物环境风险底线，逐步建立健全源头严防、过程严管、后果严惩的危险废物监管体系。严格落实危险废物产生单位、经营单位污染环境防</w:t>
      </w:r>
      <w:r w:rsidRPr="009A1767">
        <w:rPr>
          <w:rFonts w:hAnsi="黑体" w:hint="eastAsia"/>
          <w:szCs w:val="32"/>
        </w:rPr>
        <w:lastRenderedPageBreak/>
        <w:t>治主体责任，鼓励危险废物相关企业依法依规投保环境污染责任保险。建立动态监管清单，逐年更新完善全口径产废单位与经营单位环境监管清单。完善危险废物环境管理信息化体系，实现危险废物产生情况在线申报、管理计划在线备案、转移联单在线运行、利用处置情况在线报告和全过程在线监控。持续开展危险废物规范化管理督查考核，开展危险废物专项排查整治，监督企业落实各项危险废物环境管理制度，提升规范化管理水平。推动危险废物源头减量化，支持研发、推广减少工业危险废物产生量和降低工业危险废物危害性的生产工艺和设备。</w:t>
      </w:r>
    </w:p>
    <w:p w14:paraId="4D56B206" w14:textId="59BBB0FE" w:rsidR="0017437C" w:rsidRPr="009A1767" w:rsidRDefault="0053037A">
      <w:pPr>
        <w:autoSpaceDE w:val="0"/>
        <w:autoSpaceDN w:val="0"/>
        <w:adjustRightInd w:val="0"/>
        <w:ind w:firstLine="640"/>
        <w:rPr>
          <w:rFonts w:hAnsi="黑体"/>
          <w:szCs w:val="32"/>
        </w:rPr>
      </w:pPr>
      <w:r w:rsidRPr="009A1767">
        <w:rPr>
          <w:rFonts w:hAnsi="黑体" w:hint="eastAsia"/>
          <w:bCs/>
          <w:szCs w:val="32"/>
        </w:rPr>
        <w:t>提升危险废物利用处置能力。</w:t>
      </w:r>
      <w:r w:rsidRPr="009A1767">
        <w:rPr>
          <w:rFonts w:hAnsi="黑体" w:hint="eastAsia"/>
          <w:szCs w:val="32"/>
        </w:rPr>
        <w:t>推进危险废物优先综合利用，加大工业源危险废物收集力度，</w:t>
      </w:r>
      <w:r w:rsidRPr="009A1767">
        <w:rPr>
          <w:rFonts w:hAnsi="仿宋_GB2312" w:cs="仿宋_GB2312" w:hint="eastAsia"/>
          <w:szCs w:val="32"/>
        </w:rPr>
        <w:t>鼓励大型企业集团根据需要自行配套建设高标准的危险废物利用处置设施。</w:t>
      </w:r>
    </w:p>
    <w:p w14:paraId="11F881D9" w14:textId="23C8A33E" w:rsidR="0017437C" w:rsidRPr="009A1767" w:rsidRDefault="0053037A">
      <w:pPr>
        <w:autoSpaceDE w:val="0"/>
        <w:autoSpaceDN w:val="0"/>
        <w:adjustRightInd w:val="0"/>
        <w:ind w:firstLine="640"/>
        <w:rPr>
          <w:rFonts w:hAnsi="仿宋_GB2312" w:cs="仿宋_GB2312"/>
          <w:szCs w:val="32"/>
        </w:rPr>
      </w:pPr>
      <w:r w:rsidRPr="009A1767">
        <w:rPr>
          <w:rFonts w:hAnsi="黑体" w:hint="eastAsia"/>
          <w:bCs/>
          <w:szCs w:val="32"/>
        </w:rPr>
        <w:t>补齐医疗废物收集处置短板。</w:t>
      </w:r>
      <w:r w:rsidRPr="009A1767">
        <w:rPr>
          <w:rFonts w:hAnsi="黑体" w:hint="eastAsia"/>
          <w:szCs w:val="32"/>
        </w:rPr>
        <w:t>推进现有医疗废物集中处置设施扩能提质，</w:t>
      </w:r>
      <w:r w:rsidRPr="009A1767">
        <w:rPr>
          <w:rFonts w:hAnsi="仿宋_GB2312" w:cs="仿宋_GB2312" w:hint="eastAsia"/>
          <w:szCs w:val="32"/>
        </w:rPr>
        <w:t>健全医疗废物收集体系</w:t>
      </w:r>
      <w:r w:rsidR="001524B5" w:rsidRPr="009A1767">
        <w:rPr>
          <w:rFonts w:hAnsi="仿宋_GB2312" w:cs="仿宋_GB2312" w:hint="eastAsia"/>
          <w:szCs w:val="32"/>
        </w:rPr>
        <w:t>，</w:t>
      </w:r>
      <w:r w:rsidRPr="009A1767">
        <w:rPr>
          <w:rFonts w:hAnsi="仿宋_GB2312" w:cs="仿宋_GB2312" w:hint="eastAsia"/>
          <w:szCs w:val="32"/>
        </w:rPr>
        <w:t>提高医疗废物转运能力。建立市级医疗废物信息化管理平台，建立高效联动协调机制</w:t>
      </w:r>
      <w:r w:rsidR="00F5690A" w:rsidRPr="009A1767">
        <w:rPr>
          <w:rFonts w:hAnsi="仿宋_GB2312" w:cs="仿宋_GB2312" w:hint="eastAsia"/>
          <w:szCs w:val="32"/>
        </w:rPr>
        <w:t>，</w:t>
      </w:r>
      <w:r w:rsidRPr="009A1767">
        <w:rPr>
          <w:rFonts w:hAnsi="仿宋_GB2312" w:cs="仿宋_GB2312" w:hint="eastAsia"/>
          <w:szCs w:val="32"/>
        </w:rPr>
        <w:t>完善协同应急处置机制，加强应对公共卫生事件应急处置能力。</w:t>
      </w:r>
    </w:p>
    <w:p w14:paraId="059A2A5E" w14:textId="77777777" w:rsidR="0017437C" w:rsidRPr="009A1767" w:rsidRDefault="0053037A">
      <w:pPr>
        <w:autoSpaceDE w:val="0"/>
        <w:autoSpaceDN w:val="0"/>
        <w:adjustRightInd w:val="0"/>
        <w:ind w:firstLine="640"/>
        <w:rPr>
          <w:rFonts w:ascii="楷体" w:eastAsia="楷体" w:hAnsi="楷体" w:cs="仿宋_GB2312"/>
          <w:color w:val="0000FF"/>
          <w:szCs w:val="32"/>
          <w:u w:val="single"/>
        </w:rPr>
      </w:pPr>
      <w:r w:rsidRPr="009A1767">
        <w:rPr>
          <w:rFonts w:ascii="楷体" w:eastAsia="楷体" w:hAnsi="楷体" w:cs="仿宋_GB2312" w:hint="eastAsia"/>
          <w:color w:val="0000FF"/>
          <w:szCs w:val="32"/>
          <w:u w:val="single"/>
        </w:rPr>
        <w:t>（七）坚持系统治理，切实加强生态系统保护。</w:t>
      </w:r>
    </w:p>
    <w:p w14:paraId="06580509" w14:textId="3C06E846" w:rsidR="0017437C" w:rsidRPr="009A1767" w:rsidRDefault="0053037A">
      <w:pPr>
        <w:autoSpaceDE w:val="0"/>
        <w:autoSpaceDN w:val="0"/>
        <w:adjustRightInd w:val="0"/>
        <w:ind w:firstLine="640"/>
        <w:rPr>
          <w:rFonts w:hAnsi="仿宋_GB2312" w:cs="仿宋_GB2312"/>
          <w:szCs w:val="32"/>
        </w:rPr>
      </w:pPr>
      <w:r w:rsidRPr="009A1767">
        <w:rPr>
          <w:rFonts w:hAnsi="仿宋_GB2312" w:cs="仿宋_GB2312" w:hint="eastAsia"/>
          <w:color w:val="0033CC"/>
          <w:szCs w:val="32"/>
          <w:u w:val="single"/>
        </w:rPr>
        <w:t>1</w:t>
      </w:r>
      <w:r w:rsidRPr="009A1767">
        <w:rPr>
          <w:rFonts w:hAnsi="仿宋_GB2312" w:cs="仿宋_GB2312"/>
          <w:color w:val="0033CC"/>
          <w:szCs w:val="32"/>
          <w:u w:val="single"/>
        </w:rPr>
        <w:t>.</w:t>
      </w:r>
      <w:r w:rsidRPr="009A1767">
        <w:rPr>
          <w:rFonts w:hAnsi="仿宋_GB2312" w:cs="仿宋_GB2312" w:hint="eastAsia"/>
          <w:szCs w:val="32"/>
        </w:rPr>
        <w:t>推进全域生态修复治理</w:t>
      </w:r>
      <w:r w:rsidR="00F5690A" w:rsidRPr="009A1767">
        <w:rPr>
          <w:rFonts w:hAnsi="仿宋_GB2312" w:cs="仿宋_GB2312" w:hint="eastAsia"/>
          <w:szCs w:val="32"/>
        </w:rPr>
        <w:t>。</w:t>
      </w:r>
    </w:p>
    <w:p w14:paraId="79C5D62D" w14:textId="71F65723" w:rsidR="0017437C" w:rsidRPr="009A1767" w:rsidRDefault="0053037A">
      <w:pPr>
        <w:pStyle w:val="a7"/>
        <w:spacing w:line="360" w:lineRule="auto"/>
        <w:ind w:firstLineChars="200" w:firstLine="640"/>
        <w:rPr>
          <w:rFonts w:ascii="仿宋_GB2312" w:eastAsia="仿宋_GB2312" w:hAnsiTheme="minorHAnsi" w:cstheme="minorBidi"/>
          <w:sz w:val="32"/>
          <w:szCs w:val="22"/>
        </w:rPr>
      </w:pPr>
      <w:r w:rsidRPr="009A1767">
        <w:rPr>
          <w:rFonts w:ascii="仿宋_GB2312" w:eastAsia="仿宋_GB2312" w:hAnsiTheme="minorHAnsi" w:cstheme="minorBidi" w:hint="eastAsia"/>
          <w:sz w:val="32"/>
          <w:szCs w:val="22"/>
        </w:rPr>
        <w:t>构筑绿色生态安全屏障。坚持绿化彩化财化同步推进，</w:t>
      </w:r>
      <w:r w:rsidRPr="009A1767">
        <w:rPr>
          <w:rFonts w:ascii="仿宋_GB2312" w:eastAsia="仿宋_GB2312" w:hAnsiTheme="minorHAnsi" w:cstheme="minorBidi" w:hint="eastAsia"/>
          <w:sz w:val="32"/>
          <w:szCs w:val="22"/>
        </w:rPr>
        <w:lastRenderedPageBreak/>
        <w:t>实施林草生态保护修复工程</w:t>
      </w:r>
      <w:r w:rsidR="00F5690A" w:rsidRPr="009A1767">
        <w:rPr>
          <w:rFonts w:ascii="仿宋_GB2312" w:eastAsia="仿宋_GB2312" w:hAnsiTheme="minorHAnsi" w:cstheme="minorBidi" w:hint="eastAsia"/>
          <w:sz w:val="32"/>
          <w:szCs w:val="22"/>
        </w:rPr>
        <w:t>。</w:t>
      </w:r>
      <w:r w:rsidRPr="009A1767">
        <w:rPr>
          <w:rFonts w:ascii="仿宋_GB2312" w:eastAsia="仿宋_GB2312" w:hAnsiTheme="minorHAnsi" w:cstheme="minorBidi" w:hint="eastAsia"/>
          <w:sz w:val="32"/>
          <w:szCs w:val="22"/>
        </w:rPr>
        <w:t>全面推行林长制，持续开展“绿盾”植树造林专项行动，推动宜林荒山实现基本绿化。引入市场化治理手段，推进矿区生态治理的制度化、规范化。</w:t>
      </w:r>
    </w:p>
    <w:p w14:paraId="35B6671F" w14:textId="77777777" w:rsidR="0017437C" w:rsidRPr="009A1767" w:rsidRDefault="0053037A">
      <w:pPr>
        <w:ind w:firstLine="640"/>
        <w:rPr>
          <w:rFonts w:hAnsi="Times New Roman" w:cs="Times New Roman"/>
          <w:szCs w:val="32"/>
        </w:rPr>
      </w:pPr>
      <w:r w:rsidRPr="009A1767">
        <w:rPr>
          <w:rFonts w:hAnsi="Times New Roman" w:cs="Times New Roman" w:hint="eastAsia"/>
          <w:szCs w:val="32"/>
        </w:rPr>
        <w:t>实施“四带”增景添彩工程。建设贯通小西沟村旅游点、乌金山、凤栖湖、小寨古村落、黄土农言、百草坡、潇河等景区景点的市城区环城生态旅游带，形成旅游观光带、生态隔离圈、休闲康养路，打造全域旅游示范市的重要地标。建设南同蒲高速沿线彩化带，打造东起太旧高速枢纽、南至灵石高速口的高速绿化彩化财化廊带。打造汾河两岸景观绿化带，建设一批湿地公园、休闲驿站，实现汾河沿岸护岸林带全覆盖。建设太行中段绿色风光带，立足东山五县生态优势，贯通“太行一号”旅游公路，持续推进太行山绿化工程。</w:t>
      </w:r>
    </w:p>
    <w:p w14:paraId="319EE3F5" w14:textId="658371D6" w:rsidR="0017437C" w:rsidRPr="009A1767" w:rsidRDefault="0053037A">
      <w:pPr>
        <w:ind w:firstLine="640"/>
        <w:rPr>
          <w:rFonts w:hAnsi="Times New Roman" w:cs="Times New Roman"/>
          <w:szCs w:val="32"/>
        </w:rPr>
      </w:pPr>
      <w:r w:rsidRPr="009A1767">
        <w:rPr>
          <w:rFonts w:hAnsi="Times New Roman" w:cs="Times New Roman" w:hint="eastAsia"/>
          <w:szCs w:val="32"/>
        </w:rPr>
        <w:t>开展“三湖”生态保护和修复。加强云竹湖、龙栖湖、凤栖湖等“三湖”生态空间管控，实施环湖截污治污工程建设、污水处理厂及管网配套建设、入湖河道生态治理等措施</w:t>
      </w:r>
      <w:r w:rsidR="00F5690A" w:rsidRPr="009A1767">
        <w:rPr>
          <w:rFonts w:hAnsi="Times New Roman" w:cs="Times New Roman" w:hint="eastAsia"/>
          <w:szCs w:val="32"/>
        </w:rPr>
        <w:t>。</w:t>
      </w:r>
      <w:r w:rsidRPr="009A1767">
        <w:rPr>
          <w:rFonts w:hAnsi="Times New Roman" w:cs="Times New Roman" w:hint="eastAsia"/>
          <w:szCs w:val="32"/>
        </w:rPr>
        <w:t>合理实施云竹湖库岸综合整治开发，加强生物多样性保护，恢复自然生态湿地景观，建成具有国际吸引力的国家级旅游度假新区。恢复提升龙栖湖生态功能，加快环湖公路和南雷公康养公寓建设，形成“文旅＋体育”发展新模式。完成凤栖湖保护开发规划，开展生态保护与修复，大力发展康养产业。</w:t>
      </w:r>
    </w:p>
    <w:p w14:paraId="379C03B9" w14:textId="7EB306BD" w:rsidR="0017437C" w:rsidRPr="009A1767" w:rsidRDefault="0053037A">
      <w:pPr>
        <w:autoSpaceDE w:val="0"/>
        <w:autoSpaceDN w:val="0"/>
        <w:adjustRightInd w:val="0"/>
        <w:ind w:firstLine="640"/>
        <w:rPr>
          <w:rFonts w:hAnsi="仿宋_GB2312" w:cs="仿宋_GB2312"/>
          <w:szCs w:val="32"/>
        </w:rPr>
      </w:pPr>
      <w:r w:rsidRPr="009A1767">
        <w:rPr>
          <w:rFonts w:hAnsi="Times New Roman" w:cs="Times New Roman" w:hint="eastAsia"/>
          <w:szCs w:val="32"/>
        </w:rPr>
        <w:lastRenderedPageBreak/>
        <w:t>全面推进“八河流”生态修复治理。全面加强汾河、潇河、漳河（清漳河和浊漳河北源）、乌马河、昌源河、仁义河、静升河、惠济河“八河流”综合治理，实施干流沿线重点小流域综合治理，加快大小水网工程建设，强化水土流失综合治理，推进病险水库除险加固与山洪灾害防治工程，提升防洪抗旱能力。稳步推进介休汾河国家湿地公园、乌马河生态公园和象峪河生态功能保护区建设。</w:t>
      </w:r>
    </w:p>
    <w:p w14:paraId="7747A240" w14:textId="3516855C" w:rsidR="0017437C" w:rsidRPr="009A1767" w:rsidRDefault="0053037A">
      <w:pPr>
        <w:autoSpaceDE w:val="0"/>
        <w:autoSpaceDN w:val="0"/>
        <w:adjustRightInd w:val="0"/>
        <w:ind w:firstLine="640"/>
        <w:rPr>
          <w:rFonts w:hAnsi="黑体"/>
          <w:szCs w:val="32"/>
        </w:rPr>
      </w:pPr>
      <w:r w:rsidRPr="009A1767">
        <w:rPr>
          <w:rFonts w:hAnsi="黑体" w:hint="eastAsia"/>
          <w:color w:val="0033CC"/>
          <w:szCs w:val="32"/>
          <w:u w:val="single"/>
        </w:rPr>
        <w:t>2</w:t>
      </w:r>
      <w:r w:rsidRPr="009A1767">
        <w:rPr>
          <w:rFonts w:hAnsi="黑体"/>
          <w:color w:val="0033CC"/>
          <w:szCs w:val="32"/>
          <w:u w:val="single"/>
        </w:rPr>
        <w:t>.</w:t>
      </w:r>
      <w:r w:rsidRPr="009A1767">
        <w:rPr>
          <w:rFonts w:hAnsi="黑体" w:hint="eastAsia"/>
          <w:szCs w:val="32"/>
        </w:rPr>
        <w:t>加强生物多样性保护</w:t>
      </w:r>
      <w:r w:rsidR="00F5690A" w:rsidRPr="009A1767">
        <w:rPr>
          <w:rFonts w:hAnsi="黑体" w:hint="eastAsia"/>
          <w:szCs w:val="32"/>
        </w:rPr>
        <w:t>。</w:t>
      </w:r>
    </w:p>
    <w:p w14:paraId="12286D7C" w14:textId="7E6D64EE" w:rsidR="0017437C" w:rsidRPr="009A1767" w:rsidRDefault="0053037A">
      <w:pPr>
        <w:ind w:firstLine="640"/>
        <w:rPr>
          <w:rFonts w:hAnsi="Times New Roman" w:cs="Times New Roman"/>
          <w:szCs w:val="32"/>
        </w:rPr>
      </w:pPr>
      <w:r w:rsidRPr="009A1767">
        <w:rPr>
          <w:rFonts w:hAnsi="Times New Roman" w:cs="Times New Roman" w:hint="eastAsia"/>
          <w:szCs w:val="32"/>
        </w:rPr>
        <w:t>保护生物多样性。</w:t>
      </w:r>
      <w:r w:rsidRPr="009A1767">
        <w:rPr>
          <w:rFonts w:hAnsi="Times New Roman" w:cs="Times New Roman" w:hint="eastAsia"/>
          <w:bCs/>
          <w:szCs w:val="32"/>
        </w:rPr>
        <w:t>深入开展华北豹栖息地保护与监测工作，推进黄河流域太行山华北豹栖息地生态保护项目实施。严格禁止野生动物非法交易和食用，从严查处违法违规行为，革除滥食野生动物陋习。开展陆域、水域生物多样性调查，以市域内太岳山区、太行山区、汾河、清漳河、浊漳河等主要河流水系、大运、太长及石太等重要交通干线、各类自然保护地为主阵地，调查评估生物多样性本底现状，建立物种名录和基础信息数据库。</w:t>
      </w:r>
    </w:p>
    <w:p w14:paraId="33FCE7D1" w14:textId="56B0BE20" w:rsidR="0017437C" w:rsidRPr="009A1767" w:rsidRDefault="0053037A">
      <w:pPr>
        <w:ind w:firstLine="640"/>
        <w:rPr>
          <w:rFonts w:hAnsi="Times New Roman" w:cs="Times New Roman"/>
          <w:szCs w:val="32"/>
        </w:rPr>
      </w:pPr>
      <w:r w:rsidRPr="009A1767">
        <w:rPr>
          <w:rFonts w:hAnsi="Times New Roman" w:cs="Times New Roman" w:hint="eastAsia"/>
          <w:szCs w:val="32"/>
        </w:rPr>
        <w:t>加强生态保护监管。加强生态保护红线、泉域重点保护区、饮用水水源保护区等生态功能重要区和生态环境敏感区保护，依法禁止或限制大规模、高强度的工业和城镇建设。加强自然保护地和生态保护红线监管，依法加大生态破坏问题监督和查处力度，持续推进“绿盾”自然保护地强化监督</w:t>
      </w:r>
      <w:r w:rsidRPr="009A1767">
        <w:rPr>
          <w:rFonts w:hAnsi="Times New Roman" w:cs="Times New Roman" w:hint="eastAsia"/>
          <w:szCs w:val="32"/>
        </w:rPr>
        <w:lastRenderedPageBreak/>
        <w:t>专项行动。对自然保护区突出生态破坏问题进行监督检查。加大对挤占生态空间和损害重要生态系统行为的惩处力度，对违反生态保护管控要求，造成生态破坏的单位和人员依法追究责任。</w:t>
      </w:r>
    </w:p>
    <w:p w14:paraId="0856187E" w14:textId="557AA2B2" w:rsidR="0017437C" w:rsidRPr="009A1767" w:rsidRDefault="0053037A">
      <w:pPr>
        <w:ind w:firstLine="640"/>
        <w:rPr>
          <w:rFonts w:hAnsi="仿宋_GB2312" w:cs="仿宋_GB2312"/>
          <w:szCs w:val="32"/>
        </w:rPr>
      </w:pPr>
      <w:r w:rsidRPr="009A1767">
        <w:rPr>
          <w:rFonts w:hAnsi="仿宋_GB2312" w:cs="仿宋_GB2312" w:hint="eastAsia"/>
          <w:color w:val="0033CC"/>
          <w:szCs w:val="32"/>
          <w:u w:val="single"/>
        </w:rPr>
        <w:t>3</w:t>
      </w:r>
      <w:r w:rsidRPr="009A1767">
        <w:rPr>
          <w:rFonts w:hAnsi="仿宋_GB2312" w:cs="仿宋_GB2312"/>
          <w:color w:val="0033CC"/>
          <w:szCs w:val="32"/>
          <w:u w:val="single"/>
        </w:rPr>
        <w:t>.</w:t>
      </w:r>
      <w:r w:rsidRPr="009A1767">
        <w:rPr>
          <w:rFonts w:hAnsi="仿宋_GB2312" w:cs="仿宋_GB2312" w:hint="eastAsia"/>
          <w:szCs w:val="32"/>
        </w:rPr>
        <w:t>开展生态文明示范创建</w:t>
      </w:r>
      <w:r w:rsidR="007F2187" w:rsidRPr="009A1767">
        <w:rPr>
          <w:rFonts w:hAnsi="仿宋_GB2312" w:cs="仿宋_GB2312" w:hint="eastAsia"/>
          <w:szCs w:val="32"/>
        </w:rPr>
        <w:t>。</w:t>
      </w:r>
    </w:p>
    <w:p w14:paraId="69F64BE6" w14:textId="5E56A319" w:rsidR="0017437C" w:rsidRPr="009A1767" w:rsidRDefault="0053037A">
      <w:pPr>
        <w:pStyle w:val="a7"/>
        <w:spacing w:line="360" w:lineRule="auto"/>
        <w:ind w:firstLineChars="200" w:firstLine="640"/>
        <w:rPr>
          <w:rFonts w:ascii="仿宋_GB2312" w:eastAsia="仿宋_GB2312" w:hAnsiTheme="minorHAnsi" w:cstheme="minorBidi"/>
          <w:sz w:val="32"/>
          <w:szCs w:val="22"/>
        </w:rPr>
      </w:pPr>
      <w:r w:rsidRPr="009A1767">
        <w:rPr>
          <w:rFonts w:ascii="仿宋_GB2312" w:eastAsia="仿宋_GB2312" w:hAnsiTheme="minorHAnsi" w:cstheme="minorBidi" w:hint="eastAsia"/>
          <w:sz w:val="32"/>
          <w:szCs w:val="22"/>
        </w:rPr>
        <w:t>创新生态文明示范模式。积极开展节约型机关、绿色家庭、绿色学校、绿色医院、绿色社区、绿色商场、绿色出行、绿色建筑等创建行动。加强示范创建动态管理，建立完善预警及退出机制。创新发展生态环境文化产品，不断扩大示范创建影响力和知名度，形成品牌效应。</w:t>
      </w:r>
    </w:p>
    <w:p w14:paraId="28CAA440" w14:textId="3CBBE534" w:rsidR="0017437C" w:rsidRPr="009A1767" w:rsidRDefault="0053037A">
      <w:pPr>
        <w:ind w:firstLine="640"/>
        <w:rPr>
          <w:rFonts w:hAnsi="Times New Roman" w:cs="Times New Roman"/>
          <w:b/>
          <w:bCs/>
          <w:szCs w:val="32"/>
        </w:rPr>
      </w:pPr>
      <w:r w:rsidRPr="009A1767">
        <w:rPr>
          <w:rFonts w:hAnsi="Times New Roman" w:cs="Times New Roman" w:hint="eastAsia"/>
          <w:szCs w:val="32"/>
        </w:rPr>
        <w:t>加强生态文明示范创建。</w:t>
      </w:r>
      <w:r w:rsidRPr="009A1767">
        <w:rPr>
          <w:rFonts w:hAnsi="Times New Roman" w:cs="Times New Roman" w:hint="eastAsia"/>
          <w:bCs/>
          <w:szCs w:val="32"/>
        </w:rPr>
        <w:t>积极开展生态文明建设示范区创建工作，各县（市、区）组织编制生态文明建设规划并推动实施，东山5县（左权、和顺、昔阳、榆社、寿阳）全力创建省级生态文明建设示范县，左权、昔阳、和顺争创国家级生态文明建设示范县。开展“绿水青山就是金山银山”实践创新基地建设，各县（市、区）推荐并创建1个“两山”实践创新基地，重点支持昔阳大寨镇、左权麻田镇争创国家级“两山”实践创新基地。</w:t>
      </w:r>
    </w:p>
    <w:p w14:paraId="010C0219" w14:textId="77777777" w:rsidR="0017437C" w:rsidRPr="009A1767" w:rsidRDefault="0053037A">
      <w:pPr>
        <w:ind w:firstLine="640"/>
        <w:rPr>
          <w:rFonts w:ascii="楷体" w:eastAsia="楷体" w:hAnsi="楷体" w:cs="仿宋_GB2312"/>
          <w:color w:val="0000FF"/>
          <w:szCs w:val="32"/>
          <w:u w:val="single"/>
        </w:rPr>
      </w:pPr>
      <w:r w:rsidRPr="009A1767">
        <w:rPr>
          <w:rFonts w:ascii="楷体" w:eastAsia="楷体" w:hAnsi="楷体" w:cs="仿宋_GB2312" w:hint="eastAsia"/>
          <w:color w:val="0000FF"/>
          <w:szCs w:val="32"/>
          <w:u w:val="single"/>
        </w:rPr>
        <w:t>（八）坚持底线思维，有效化解生态环境风险。</w:t>
      </w:r>
    </w:p>
    <w:p w14:paraId="44B91A33" w14:textId="0F54BDAE" w:rsidR="0017437C" w:rsidRPr="009A1767" w:rsidRDefault="0053037A">
      <w:pPr>
        <w:ind w:firstLine="640"/>
        <w:rPr>
          <w:rFonts w:hAnsi="仿宋_GB2312" w:cs="仿宋_GB2312"/>
          <w:szCs w:val="32"/>
        </w:rPr>
      </w:pPr>
      <w:r w:rsidRPr="009A1767">
        <w:rPr>
          <w:rFonts w:hAnsi="仿宋_GB2312" w:cs="仿宋_GB2312" w:hint="eastAsia"/>
          <w:color w:val="0033CC"/>
          <w:szCs w:val="32"/>
          <w:u w:val="single"/>
        </w:rPr>
        <w:t>1</w:t>
      </w:r>
      <w:r w:rsidRPr="009A1767">
        <w:rPr>
          <w:rFonts w:hAnsi="仿宋_GB2312" w:cs="仿宋_GB2312"/>
          <w:color w:val="0033CC"/>
          <w:szCs w:val="32"/>
          <w:u w:val="single"/>
        </w:rPr>
        <w:t>.</w:t>
      </w:r>
      <w:r w:rsidRPr="009A1767">
        <w:rPr>
          <w:rFonts w:hAnsi="仿宋_GB2312" w:cs="仿宋_GB2312" w:hint="eastAsia"/>
          <w:szCs w:val="32"/>
        </w:rPr>
        <w:t>构建风险防控及应急体系</w:t>
      </w:r>
      <w:r w:rsidR="007F2187" w:rsidRPr="009A1767">
        <w:rPr>
          <w:rFonts w:hAnsi="仿宋_GB2312" w:cs="仿宋_GB2312" w:hint="eastAsia"/>
          <w:szCs w:val="32"/>
        </w:rPr>
        <w:t>。</w:t>
      </w:r>
    </w:p>
    <w:p w14:paraId="0C2EFB50" w14:textId="5FCD62B0" w:rsidR="0017437C" w:rsidRPr="009A1767" w:rsidRDefault="0053037A">
      <w:pPr>
        <w:ind w:firstLine="640"/>
        <w:rPr>
          <w:rFonts w:hAnsi="仿宋_GB2312" w:cs="仿宋_GB2312"/>
          <w:szCs w:val="32"/>
        </w:rPr>
      </w:pPr>
      <w:r w:rsidRPr="009A1767">
        <w:rPr>
          <w:rFonts w:hAnsi="Times New Roman" w:cs="Times New Roman" w:hint="eastAsia"/>
          <w:szCs w:val="32"/>
        </w:rPr>
        <w:t>加强环境风险预警防控。强化区域开发和项目建设的环</w:t>
      </w:r>
      <w:r w:rsidRPr="009A1767">
        <w:rPr>
          <w:rFonts w:hAnsi="Times New Roman" w:cs="Times New Roman" w:hint="eastAsia"/>
          <w:szCs w:val="32"/>
        </w:rPr>
        <w:lastRenderedPageBreak/>
        <w:t>境风险评价，严格落实园区和企业环境风险防控的主体责任，</w:t>
      </w:r>
      <w:r w:rsidRPr="009A1767">
        <w:rPr>
          <w:rFonts w:hAnsi="Times New Roman" w:hint="eastAsia"/>
        </w:rPr>
        <w:t>健全环境风险预测预警制度</w:t>
      </w:r>
      <w:r w:rsidR="009D1DD4" w:rsidRPr="009A1767">
        <w:rPr>
          <w:rFonts w:hAnsi="Times New Roman" w:hint="eastAsia"/>
        </w:rPr>
        <w:t>。</w:t>
      </w:r>
    </w:p>
    <w:p w14:paraId="016BD068" w14:textId="654FEF33" w:rsidR="0017437C" w:rsidRPr="009A1767" w:rsidRDefault="0053037A">
      <w:pPr>
        <w:ind w:firstLine="640"/>
        <w:rPr>
          <w:rFonts w:hAnsi="Times New Roman" w:cs="Times New Roman"/>
          <w:szCs w:val="32"/>
        </w:rPr>
      </w:pPr>
      <w:r w:rsidRPr="009A1767">
        <w:rPr>
          <w:rFonts w:hAnsi="Times New Roman" w:cs="Times New Roman" w:hint="eastAsia"/>
          <w:szCs w:val="32"/>
        </w:rPr>
        <w:t>提升环境应急处置水平。全面规范企事业单位环境应急预案，所有应备案企业实现电子化备案全覆盖。完善市县两级环境应急体系，开展集中式地表水饮用水水源突发环境事件应急预案、生态破坏事件应急预案的编制，完成突发环境事件应急预案、重污染天气应急预案、辐射事故应急预案的修订。</w:t>
      </w:r>
    </w:p>
    <w:p w14:paraId="2026DCEE" w14:textId="77777777" w:rsidR="0017437C" w:rsidRPr="009A1767" w:rsidRDefault="0053037A">
      <w:pPr>
        <w:ind w:firstLine="640"/>
        <w:rPr>
          <w:rFonts w:hAnsi="Times New Roman" w:cs="Times New Roman"/>
          <w:szCs w:val="32"/>
        </w:rPr>
      </w:pPr>
      <w:r w:rsidRPr="009A1767">
        <w:rPr>
          <w:rFonts w:hAnsi="Times New Roman" w:cs="Times New Roman" w:hint="eastAsia"/>
          <w:szCs w:val="32"/>
        </w:rPr>
        <w:t>完善生态环境应急体系。严格落实属地为主、部门协同的环境应急责任体制，健全环境应急管理指挥体系，加强生态环境与应急、公安、消防、水利、交通运输等部门间的应急联动，推进跨行政区域、跨流域上下游环境应急联动机制建设，提高信息互通、资源共享和协同应对能力。加强专业化应急救援队伍建设，健全环境应急社会化支撑体系，分类分级开展环境应急人员培训轮训。进一步加强环境应急监测能力建设，完善多层级环境应急专家管理体系。探索建立环境应急专员制度和环境应急专项资金制度。</w:t>
      </w:r>
    </w:p>
    <w:p w14:paraId="0DF66451" w14:textId="4CCF4A80" w:rsidR="0017437C" w:rsidRPr="009A1767" w:rsidRDefault="0053037A">
      <w:pPr>
        <w:ind w:firstLine="640"/>
        <w:rPr>
          <w:rFonts w:hAnsi="Times New Roman" w:cs="Times New Roman"/>
          <w:szCs w:val="32"/>
        </w:rPr>
      </w:pPr>
      <w:r w:rsidRPr="009A1767">
        <w:rPr>
          <w:rFonts w:hAnsi="Times New Roman" w:cs="Times New Roman" w:hint="eastAsia"/>
          <w:color w:val="0033CC"/>
          <w:szCs w:val="32"/>
          <w:u w:val="single"/>
        </w:rPr>
        <w:t>2</w:t>
      </w:r>
      <w:r w:rsidRPr="009A1767">
        <w:rPr>
          <w:rFonts w:hAnsi="Times New Roman" w:cs="Times New Roman"/>
          <w:color w:val="0033CC"/>
          <w:szCs w:val="32"/>
          <w:u w:val="single"/>
        </w:rPr>
        <w:t>.</w:t>
      </w:r>
      <w:r w:rsidRPr="009A1767">
        <w:rPr>
          <w:rFonts w:hAnsi="Times New Roman" w:cs="Times New Roman" w:hint="eastAsia"/>
          <w:szCs w:val="32"/>
        </w:rPr>
        <w:t>深化重金属及化学品污染治理</w:t>
      </w:r>
      <w:r w:rsidR="00927F63" w:rsidRPr="009A1767">
        <w:rPr>
          <w:rFonts w:hAnsi="Times New Roman" w:cs="Times New Roman" w:hint="eastAsia"/>
          <w:szCs w:val="32"/>
        </w:rPr>
        <w:t>。</w:t>
      </w:r>
    </w:p>
    <w:p w14:paraId="40732BD7" w14:textId="4769DD74" w:rsidR="0017437C" w:rsidRPr="009A1767" w:rsidRDefault="0053037A">
      <w:pPr>
        <w:ind w:firstLine="640"/>
        <w:rPr>
          <w:rFonts w:hAnsi="仿宋_GB2312" w:cs="仿宋_GB2312"/>
          <w:bCs/>
          <w:szCs w:val="32"/>
        </w:rPr>
      </w:pPr>
      <w:r w:rsidRPr="009A1767">
        <w:rPr>
          <w:rFonts w:hAnsi="仿宋_GB2312" w:cs="仿宋_GB2312" w:hint="eastAsia"/>
          <w:bCs/>
          <w:szCs w:val="32"/>
        </w:rPr>
        <w:t>深化重金属污染防治。严格重金属排放量总量控制，新、改、扩建涉重金属重点行业建设项目严格落实重金属“减量置换”或“等量替换”要求。完善涉重金属重点行业企业清</w:t>
      </w:r>
      <w:r w:rsidRPr="009A1767">
        <w:rPr>
          <w:rFonts w:hAnsi="仿宋_GB2312" w:cs="仿宋_GB2312" w:hint="eastAsia"/>
          <w:bCs/>
          <w:szCs w:val="32"/>
        </w:rPr>
        <w:lastRenderedPageBreak/>
        <w:t>单，依法依规落实排污许可制度。持续推进重金属减排，以结构调整、升级改造和深度治理为主要手段，推动实施一批重金属减排工程，持续减少重金属污染物排放。加快推进电镀企业入园，提高电镀企业入园率。</w:t>
      </w:r>
    </w:p>
    <w:p w14:paraId="1D659FFA" w14:textId="77777777" w:rsidR="0017437C" w:rsidRPr="009A1767" w:rsidRDefault="0053037A">
      <w:pPr>
        <w:ind w:firstLine="640"/>
        <w:rPr>
          <w:rFonts w:hAnsi="仿宋_GB2312" w:cs="仿宋_GB2312"/>
          <w:szCs w:val="32"/>
        </w:rPr>
      </w:pPr>
      <w:r w:rsidRPr="009A1767">
        <w:rPr>
          <w:rFonts w:hAnsi="仿宋_GB2312" w:cs="仿宋_GB2312" w:hint="eastAsia"/>
          <w:bCs/>
          <w:szCs w:val="32"/>
        </w:rPr>
        <w:t>强化危险化学品管控。</w:t>
      </w:r>
      <w:r w:rsidRPr="009A1767">
        <w:rPr>
          <w:rFonts w:hAnsi="仿宋_GB2312" w:cs="仿宋_GB2312" w:hint="eastAsia"/>
          <w:szCs w:val="32"/>
        </w:rPr>
        <w:t>全面开展废弃危险化学品排查，对属性不明的固体废物进行鉴别鉴定，重点整治化工园区、化工企业、危险化学品单位等可能存在的违规堆存、随意倾倒、私自填埋等问题，确保废弃危险化学品贮存、运输、处置安全。督促落实化工园区环境保护主体责任和“一园一策”危险化学品利用处置要求。</w:t>
      </w:r>
    </w:p>
    <w:p w14:paraId="5EB6F2EA" w14:textId="77777777" w:rsidR="0017437C" w:rsidRPr="009A1767" w:rsidRDefault="0053037A">
      <w:pPr>
        <w:ind w:firstLine="640"/>
        <w:rPr>
          <w:rFonts w:hAnsi="仿宋_GB2312" w:cs="仿宋_GB2312"/>
          <w:bCs/>
          <w:szCs w:val="32"/>
        </w:rPr>
      </w:pPr>
      <w:r w:rsidRPr="009A1767">
        <w:rPr>
          <w:rFonts w:hAnsi="仿宋_GB2312" w:cs="仿宋_GB2312" w:hint="eastAsia"/>
          <w:bCs/>
          <w:szCs w:val="32"/>
        </w:rPr>
        <w:t>加快淘汰、限制、减少国际环境公约管控化学品。淘汰六溴环十二烷、基本淘汰十溴二苯醚、全氟辛基磺酸及其盐类和全氟辛基磺酰氟、短链氯化石蜡、全氟辛酸等一批持久性有机污染物。鼓励对限制或禁止的持久性有机污染物替代品和替代技术的研发与应用。全面禁止生产含汞体温计、含汞血压计。支持无汞催化剂工艺研究与开发应用。严厉打击持久性有机污染物非法生产和使用、添汞产品非法生产等违法行为。</w:t>
      </w:r>
    </w:p>
    <w:p w14:paraId="2B91E495" w14:textId="77777777" w:rsidR="0017437C" w:rsidRPr="009A1767" w:rsidRDefault="0053037A">
      <w:pPr>
        <w:ind w:firstLine="640"/>
        <w:rPr>
          <w:rFonts w:hAnsi="仿宋_GB2312" w:cs="仿宋_GB2312"/>
          <w:bCs/>
          <w:szCs w:val="32"/>
        </w:rPr>
      </w:pPr>
      <w:r w:rsidRPr="009A1767">
        <w:rPr>
          <w:rFonts w:hAnsi="仿宋_GB2312" w:cs="仿宋_GB2312" w:hint="eastAsia"/>
          <w:bCs/>
          <w:color w:val="0033CC"/>
          <w:szCs w:val="32"/>
          <w:u w:val="single"/>
        </w:rPr>
        <w:t>3</w:t>
      </w:r>
      <w:r w:rsidRPr="009A1767">
        <w:rPr>
          <w:rFonts w:hAnsi="仿宋_GB2312" w:cs="仿宋_GB2312"/>
          <w:bCs/>
          <w:color w:val="0033CC"/>
          <w:szCs w:val="32"/>
          <w:u w:val="single"/>
        </w:rPr>
        <w:t>.</w:t>
      </w:r>
      <w:r w:rsidRPr="009A1767">
        <w:rPr>
          <w:rFonts w:hAnsi="仿宋_GB2312" w:cs="仿宋_GB2312" w:hint="eastAsia"/>
          <w:bCs/>
          <w:szCs w:val="32"/>
        </w:rPr>
        <w:t>强化核与辐射安全监管</w:t>
      </w:r>
    </w:p>
    <w:p w14:paraId="16FAFF59" w14:textId="77777777" w:rsidR="0017437C" w:rsidRPr="009A1767" w:rsidRDefault="0053037A">
      <w:pPr>
        <w:ind w:firstLine="640"/>
        <w:rPr>
          <w:rFonts w:hAnsi="仿宋_GB2312" w:cs="仿宋_GB2312"/>
          <w:bCs/>
          <w:szCs w:val="32"/>
        </w:rPr>
      </w:pPr>
      <w:r w:rsidRPr="009A1767">
        <w:rPr>
          <w:rFonts w:hAnsi="仿宋_GB2312" w:cs="仿宋_GB2312" w:hint="eastAsia"/>
          <w:bCs/>
          <w:szCs w:val="32"/>
        </w:rPr>
        <w:t>加强核与辐射风险防范监管。优化辐射安全许可审批，推进放射性同位素审批备案等事项线上办理。加强辐射安全</w:t>
      </w:r>
      <w:r w:rsidRPr="009A1767">
        <w:rPr>
          <w:rFonts w:hAnsi="仿宋_GB2312" w:cs="仿宋_GB2312" w:hint="eastAsia"/>
          <w:bCs/>
          <w:szCs w:val="32"/>
        </w:rPr>
        <w:lastRenderedPageBreak/>
        <w:t>监管力量，提升现场监督执法能力。优化放射性同位素与射线装置分级分类安全监管制度。全面建立高风险移动放射源实时监控系统。加强重大核技术利用项目及辐照、探伤等高风险活动辐射安全监管，强化测井源运输、使用监督检查。加强放射性废物管理，强化伴生放射性矿开发利用企业的监督管理，并开展监督性监测。</w:t>
      </w:r>
    </w:p>
    <w:p w14:paraId="3622BD4B" w14:textId="0C99A0FE" w:rsidR="0017437C" w:rsidRPr="009A1767" w:rsidRDefault="0053037A">
      <w:pPr>
        <w:ind w:firstLine="640"/>
        <w:rPr>
          <w:rFonts w:hAnsi="仿宋_GB2312" w:cs="仿宋_GB2312"/>
          <w:bCs/>
          <w:szCs w:val="32"/>
        </w:rPr>
      </w:pPr>
      <w:r w:rsidRPr="009A1767">
        <w:rPr>
          <w:rFonts w:hAnsi="仿宋_GB2312" w:cs="仿宋_GB2312" w:hint="eastAsia"/>
          <w:bCs/>
          <w:szCs w:val="32"/>
        </w:rPr>
        <w:t>推进放射性污染防治。开展放射源安全专项行动，强化辐射安全监管平台管理。加强城市放射性废物库的运行管理及安全保卫。加强电磁辐射环境管理。优化监测网络，强化电磁辐射环境质量常规监测和电磁辐射设施的监督性监测，完成大型电磁发射设施周边电磁环境调查和电磁辐射水平监测。</w:t>
      </w:r>
    </w:p>
    <w:p w14:paraId="6DC4B66B" w14:textId="77777777" w:rsidR="0017437C" w:rsidRPr="009A1767" w:rsidRDefault="0053037A">
      <w:pPr>
        <w:ind w:firstLine="640"/>
        <w:rPr>
          <w:rFonts w:hAnsi="仿宋_GB2312" w:cs="仿宋_GB2312"/>
          <w:bCs/>
          <w:szCs w:val="32"/>
        </w:rPr>
      </w:pPr>
      <w:r w:rsidRPr="009A1767">
        <w:rPr>
          <w:rFonts w:hAnsi="仿宋_GB2312" w:cs="仿宋_GB2312" w:hint="eastAsia"/>
          <w:bCs/>
          <w:szCs w:val="32"/>
        </w:rPr>
        <w:t>加强核应急响应和辐射监测能力。加快各级核与辐射应急预案和配套执行程序修订。提升核与辐射监测应急支援能力。提升核与辐射事故应急演习实战化水平。</w:t>
      </w:r>
    </w:p>
    <w:p w14:paraId="2E970E59" w14:textId="77777777" w:rsidR="0017437C" w:rsidRPr="009A1767" w:rsidRDefault="0053037A">
      <w:pPr>
        <w:ind w:firstLine="640"/>
        <w:rPr>
          <w:rFonts w:ascii="楷体" w:eastAsia="楷体" w:hAnsi="楷体" w:cs="仿宋_GB2312"/>
          <w:bCs/>
          <w:color w:val="0000FF"/>
          <w:szCs w:val="32"/>
          <w:u w:val="single"/>
        </w:rPr>
      </w:pPr>
      <w:r w:rsidRPr="009A1767">
        <w:rPr>
          <w:rFonts w:ascii="楷体" w:eastAsia="楷体" w:hAnsi="楷体" w:cs="仿宋_GB2312" w:hint="eastAsia"/>
          <w:bCs/>
          <w:color w:val="0000FF"/>
          <w:szCs w:val="32"/>
          <w:u w:val="single"/>
        </w:rPr>
        <w:t>（九）坚持改革创新，构建现代环境治理体系。</w:t>
      </w:r>
    </w:p>
    <w:p w14:paraId="740E4053" w14:textId="3564ED42" w:rsidR="0017437C" w:rsidRPr="009A1767" w:rsidRDefault="0053037A">
      <w:pPr>
        <w:ind w:firstLine="640"/>
        <w:rPr>
          <w:rFonts w:hAnsi="仿宋_GB2312" w:cs="仿宋_GB2312"/>
          <w:bCs/>
          <w:szCs w:val="32"/>
        </w:rPr>
      </w:pPr>
      <w:r w:rsidRPr="009A1767">
        <w:rPr>
          <w:rFonts w:hAnsi="仿宋_GB2312" w:cs="仿宋_GB2312" w:hint="eastAsia"/>
          <w:bCs/>
          <w:color w:val="0033CC"/>
          <w:szCs w:val="32"/>
          <w:u w:val="single"/>
        </w:rPr>
        <w:t>1</w:t>
      </w:r>
      <w:r w:rsidRPr="009A1767">
        <w:rPr>
          <w:rFonts w:hAnsi="仿宋_GB2312" w:cs="仿宋_GB2312"/>
          <w:bCs/>
          <w:color w:val="0033CC"/>
          <w:szCs w:val="32"/>
          <w:u w:val="single"/>
        </w:rPr>
        <w:t>.</w:t>
      </w:r>
      <w:r w:rsidRPr="009A1767">
        <w:rPr>
          <w:rFonts w:hAnsi="仿宋_GB2312" w:cs="仿宋_GB2312" w:hint="eastAsia"/>
          <w:bCs/>
          <w:szCs w:val="32"/>
        </w:rPr>
        <w:t>健全环境治理领导责任体系</w:t>
      </w:r>
      <w:r w:rsidR="00927F63" w:rsidRPr="009A1767">
        <w:rPr>
          <w:rFonts w:hAnsi="仿宋_GB2312" w:cs="仿宋_GB2312" w:hint="eastAsia"/>
          <w:bCs/>
          <w:szCs w:val="32"/>
        </w:rPr>
        <w:t>。</w:t>
      </w:r>
    </w:p>
    <w:p w14:paraId="61C6A1BE" w14:textId="7BEED7B6" w:rsidR="0017437C" w:rsidRPr="009A1767" w:rsidRDefault="0053037A">
      <w:pPr>
        <w:ind w:firstLine="640"/>
        <w:rPr>
          <w:rFonts w:hAnsi="仿宋_GB2312" w:cs="仿宋_GB2312"/>
          <w:szCs w:val="32"/>
        </w:rPr>
      </w:pPr>
      <w:r w:rsidRPr="009A1767">
        <w:rPr>
          <w:rFonts w:hAnsi="仿宋_GB2312" w:cs="仿宋_GB2312" w:hint="eastAsia"/>
          <w:szCs w:val="32"/>
        </w:rPr>
        <w:t>落实政府生态环境保护责任。党委及政府积极落实目标任务和政策措施，统筹做好监管执法、市场规范、资金安排、宣传教育等工作。着眼环境质量改善，合理设定约束性和预期性目标，纳入国民经济和社会发展规划、国土空间规划以</w:t>
      </w:r>
      <w:r w:rsidRPr="009A1767">
        <w:rPr>
          <w:rFonts w:hAnsi="仿宋_GB2312" w:cs="仿宋_GB2312" w:hint="eastAsia"/>
          <w:szCs w:val="32"/>
        </w:rPr>
        <w:lastRenderedPageBreak/>
        <w:t>及相关专项规划。</w:t>
      </w:r>
    </w:p>
    <w:p w14:paraId="1C37DDF4" w14:textId="77777777" w:rsidR="0017437C" w:rsidRPr="009A1767" w:rsidRDefault="0053037A">
      <w:pPr>
        <w:ind w:firstLine="640"/>
        <w:rPr>
          <w:rFonts w:hAnsi="仿宋_GB2312" w:cs="仿宋_GB2312"/>
          <w:szCs w:val="32"/>
        </w:rPr>
      </w:pPr>
      <w:r w:rsidRPr="009A1767">
        <w:rPr>
          <w:rFonts w:hAnsi="仿宋_GB2312" w:cs="仿宋_GB2312" w:hint="eastAsia"/>
          <w:szCs w:val="32"/>
        </w:rPr>
        <w:t>健全部门协作机制。坚持管发展必须管环保、管生产必须管环保、管行业必须管环保的原则，落实相关部门责任。推进落实有关部门生态环境保护责任清单及其他相关规定，推动职能部门做好生态环境保护工作，进一步完善齐抓共管、各负其责的大生态环保格局。</w:t>
      </w:r>
    </w:p>
    <w:p w14:paraId="264A8AA5" w14:textId="14D6600C" w:rsidR="0017437C" w:rsidRPr="009A1767" w:rsidRDefault="0053037A">
      <w:pPr>
        <w:ind w:firstLine="640"/>
        <w:rPr>
          <w:rFonts w:hAnsi="仿宋_GB2312" w:cs="仿宋_GB2312"/>
          <w:szCs w:val="32"/>
        </w:rPr>
      </w:pPr>
      <w:r w:rsidRPr="009A1767">
        <w:rPr>
          <w:rFonts w:hAnsi="仿宋_GB2312" w:cs="仿宋_GB2312" w:hint="eastAsia"/>
          <w:color w:val="0033CC"/>
          <w:szCs w:val="32"/>
          <w:u w:val="single"/>
        </w:rPr>
        <w:t>2</w:t>
      </w:r>
      <w:r w:rsidRPr="009A1767">
        <w:rPr>
          <w:rFonts w:hAnsi="仿宋_GB2312" w:cs="仿宋_GB2312"/>
          <w:color w:val="0033CC"/>
          <w:szCs w:val="32"/>
          <w:u w:val="single"/>
        </w:rPr>
        <w:t>.</w:t>
      </w:r>
      <w:r w:rsidRPr="009A1767">
        <w:rPr>
          <w:rFonts w:hAnsi="仿宋_GB2312" w:cs="仿宋_GB2312" w:hint="eastAsia"/>
          <w:szCs w:val="32"/>
        </w:rPr>
        <w:t>夯实生态环境法治基础</w:t>
      </w:r>
      <w:r w:rsidR="00927F63" w:rsidRPr="009A1767">
        <w:rPr>
          <w:rFonts w:hAnsi="仿宋_GB2312" w:cs="仿宋_GB2312" w:hint="eastAsia"/>
          <w:szCs w:val="32"/>
        </w:rPr>
        <w:t>。</w:t>
      </w:r>
    </w:p>
    <w:p w14:paraId="14B5ADD7" w14:textId="7F2F7ACE" w:rsidR="0017437C" w:rsidRPr="009A1767" w:rsidRDefault="0053037A">
      <w:pPr>
        <w:pStyle w:val="a7"/>
        <w:spacing w:line="360" w:lineRule="auto"/>
        <w:ind w:firstLineChars="200" w:firstLine="640"/>
        <w:rPr>
          <w:rFonts w:ascii="仿宋_GB2312" w:eastAsia="仿宋_GB2312" w:hAnsiTheme="minorHAnsi" w:cstheme="minorBidi"/>
          <w:sz w:val="32"/>
          <w:szCs w:val="22"/>
        </w:rPr>
      </w:pPr>
      <w:r w:rsidRPr="009A1767">
        <w:rPr>
          <w:rFonts w:ascii="仿宋_GB2312" w:eastAsia="仿宋_GB2312" w:hAnsiTheme="minorHAnsi" w:cstheme="minorBidi" w:hint="eastAsia"/>
          <w:bCs/>
          <w:sz w:val="32"/>
          <w:szCs w:val="22"/>
        </w:rPr>
        <w:t>完善生态环境地方性法规。</w:t>
      </w:r>
      <w:r w:rsidRPr="009A1767">
        <w:rPr>
          <w:rFonts w:ascii="仿宋_GB2312" w:eastAsia="仿宋_GB2312" w:hAnsiTheme="minorHAnsi" w:cstheme="minorBidi" w:hint="eastAsia"/>
          <w:sz w:val="32"/>
          <w:szCs w:val="22"/>
        </w:rPr>
        <w:t>围绕水污染治理，推进“一山三河一流域”生态修复治理相关立法。加快出台《晋中市城市建筑垃圾管理条例》、《晋中市洪山泉域水资源保护条例》、《晋中市漳河流域生态保护与修复条例》，推动《云竹湖保护条例》、《昌源河、介休汾河、左权清漳河、榆社漳河源4个国家湿地公园及试点保护条例》的立法进程。</w:t>
      </w:r>
    </w:p>
    <w:p w14:paraId="18DAD90A" w14:textId="6D76B2AF" w:rsidR="0017437C" w:rsidRPr="009A1767" w:rsidRDefault="0053037A">
      <w:pPr>
        <w:ind w:firstLine="640"/>
        <w:rPr>
          <w:rFonts w:hAnsi="仿宋_GB2312" w:cs="仿宋_GB2312"/>
          <w:bCs/>
          <w:szCs w:val="32"/>
        </w:rPr>
      </w:pPr>
      <w:r w:rsidRPr="009A1767">
        <w:rPr>
          <w:rFonts w:hAnsi="仿宋_GB2312" w:cs="仿宋_GB2312" w:hint="eastAsia"/>
          <w:bCs/>
          <w:szCs w:val="32"/>
        </w:rPr>
        <w:t>全面实行排污许可制。实施固定污染源全过程管理和多污染物协同控制，将土壤、地下水、应对气候变化等指标纳入排污许可证管理体系。建立以排污许可证为主要依据的生态环境日常执法监督工作体系，加强排污许可证后管理，开展排污许可专项执法检查，落实排污许可“一证式”管理。加快推进环评与排污许可融合，构建以排污许可制为核心的固定污染源监管制度体系。持续做好排污许可证换证或登记延续动态更新。</w:t>
      </w:r>
    </w:p>
    <w:p w14:paraId="1EC5167F" w14:textId="71F83EE6" w:rsidR="0017437C" w:rsidRPr="009A1767" w:rsidRDefault="0053037A">
      <w:pPr>
        <w:ind w:firstLine="640"/>
        <w:rPr>
          <w:rFonts w:hAnsi="仿宋_GB2312" w:cs="仿宋_GB2312"/>
          <w:szCs w:val="32"/>
        </w:rPr>
      </w:pPr>
      <w:r w:rsidRPr="009A1767">
        <w:rPr>
          <w:rFonts w:hAnsi="仿宋_GB2312" w:cs="仿宋_GB2312" w:hint="eastAsia"/>
          <w:bCs/>
          <w:szCs w:val="32"/>
        </w:rPr>
        <w:lastRenderedPageBreak/>
        <w:t>健全资源有偿使用和生态补偿机制。</w:t>
      </w:r>
      <w:r w:rsidRPr="009A1767">
        <w:rPr>
          <w:rFonts w:hAnsi="仿宋_GB2312" w:cs="仿宋_GB2312" w:hint="eastAsia"/>
          <w:szCs w:val="32"/>
        </w:rPr>
        <w:t>加快自然资产产权制度和用途管制制度建设，加强自然资源调查评价监测和确权登记。实施生态产品价值量核算评估，健全资源价格形成机制，加快建立生态产品从资源到资产再到资本的运营转化机制。建立健全环境资源权益交易制度，推进用能权、用水权、排污权、碳排放权市场化交易，推行合同能源管理制度。完善市场化、多元化生态补偿，构建纵向财政转移支付，横向生态受益地区对生态保护地区、流域跨界断面水质考核、社会资本广泛参与的生态补偿机制。</w:t>
      </w:r>
    </w:p>
    <w:p w14:paraId="09FCD304" w14:textId="77777777" w:rsidR="0017437C" w:rsidRPr="009A1767" w:rsidRDefault="0053037A">
      <w:pPr>
        <w:ind w:firstLine="640"/>
        <w:rPr>
          <w:rFonts w:hAnsi="仿宋_GB2312" w:cs="仿宋_GB2312"/>
          <w:bCs/>
          <w:szCs w:val="32"/>
        </w:rPr>
      </w:pPr>
      <w:r w:rsidRPr="009A1767">
        <w:rPr>
          <w:rFonts w:hAnsi="仿宋_GB2312" w:cs="仿宋_GB2312" w:hint="eastAsia"/>
          <w:bCs/>
          <w:szCs w:val="32"/>
        </w:rPr>
        <w:t>构建环境治理信用体系。完善企业环保信用评价制度，实施分级分类监管，将环境违法企业依法依规纳入失信联合惩戒对象名单，将其违法信息记入信用记录，依托信用信息共享平台依法向社会公开。加强政务诚信建设，建立健全环境治理政务失信记录，将政府和公职人员在环境保护工作中因违法违规、失信违约被司法判决、行政处罚、纪律处分、问责处理等信息纳入政务失信记录，依托共享平台做到依法依规逐步公开。</w:t>
      </w:r>
    </w:p>
    <w:p w14:paraId="433801DE" w14:textId="3468CA2F" w:rsidR="0017437C" w:rsidRPr="009A1767" w:rsidRDefault="0053037A">
      <w:pPr>
        <w:ind w:firstLine="640"/>
        <w:rPr>
          <w:rFonts w:hAnsi="仿宋_GB2312" w:cs="仿宋_GB2312"/>
          <w:bCs/>
          <w:szCs w:val="32"/>
        </w:rPr>
      </w:pPr>
      <w:r w:rsidRPr="009A1767">
        <w:rPr>
          <w:rFonts w:hAnsi="仿宋_GB2312" w:cs="仿宋_GB2312" w:hint="eastAsia"/>
          <w:bCs/>
          <w:color w:val="0033CC"/>
          <w:szCs w:val="32"/>
          <w:u w:val="single"/>
        </w:rPr>
        <w:t>3</w:t>
      </w:r>
      <w:r w:rsidRPr="009A1767">
        <w:rPr>
          <w:rFonts w:hAnsi="仿宋_GB2312" w:cs="仿宋_GB2312"/>
          <w:bCs/>
          <w:color w:val="0033CC"/>
          <w:szCs w:val="32"/>
          <w:u w:val="single"/>
        </w:rPr>
        <w:t>.</w:t>
      </w:r>
      <w:r w:rsidRPr="009A1767">
        <w:rPr>
          <w:rFonts w:hAnsi="仿宋_GB2312" w:cs="仿宋_GB2312" w:hint="eastAsia"/>
          <w:bCs/>
          <w:szCs w:val="32"/>
        </w:rPr>
        <w:t>强化核与辐射安全监管</w:t>
      </w:r>
      <w:r w:rsidR="00DD1DC1" w:rsidRPr="009A1767">
        <w:rPr>
          <w:rFonts w:hAnsi="仿宋_GB2312" w:cs="仿宋_GB2312" w:hint="eastAsia"/>
          <w:bCs/>
          <w:szCs w:val="32"/>
        </w:rPr>
        <w:t>。</w:t>
      </w:r>
    </w:p>
    <w:p w14:paraId="56AC6B14" w14:textId="77777777" w:rsidR="0017437C" w:rsidRPr="009A1767" w:rsidRDefault="0053037A">
      <w:pPr>
        <w:ind w:firstLine="640"/>
        <w:rPr>
          <w:rFonts w:hAnsi="仿宋_GB2312" w:cs="仿宋_GB2312"/>
          <w:bCs/>
          <w:szCs w:val="32"/>
        </w:rPr>
      </w:pPr>
      <w:r w:rsidRPr="009A1767">
        <w:rPr>
          <w:rFonts w:hAnsi="仿宋_GB2312" w:cs="仿宋_GB2312" w:hint="eastAsia"/>
          <w:bCs/>
          <w:szCs w:val="32"/>
        </w:rPr>
        <w:t>加强核与辐射风险防范监管。优化辐射安全许可审批，推进放射性同位素审批备案等事项线上办理。加强辐射安全监管力量，提升现场监督执法能力。优化放射性同位素与射</w:t>
      </w:r>
      <w:r w:rsidRPr="009A1767">
        <w:rPr>
          <w:rFonts w:hAnsi="仿宋_GB2312" w:cs="仿宋_GB2312" w:hint="eastAsia"/>
          <w:bCs/>
          <w:szCs w:val="32"/>
        </w:rPr>
        <w:lastRenderedPageBreak/>
        <w:t>线装置分级分类安全监管制度。全面建立高风险移动放射源实时监控系统。加强重大核技术利用项目及辐照、探伤等高风险活动辐射安全监管，强化测井源运输、使用监督检查。加强放射性废物管理，强化伴生放射性矿开发利用企业的监督管理，并开展监督性监测。</w:t>
      </w:r>
    </w:p>
    <w:p w14:paraId="2F94B868" w14:textId="1FF4E1CF" w:rsidR="0017437C" w:rsidRPr="009A1767" w:rsidRDefault="0053037A">
      <w:pPr>
        <w:ind w:firstLine="640"/>
        <w:rPr>
          <w:rFonts w:hAnsi="仿宋_GB2312" w:cs="仿宋_GB2312"/>
          <w:bCs/>
          <w:szCs w:val="32"/>
        </w:rPr>
      </w:pPr>
      <w:r w:rsidRPr="009A1767">
        <w:rPr>
          <w:rFonts w:hAnsi="仿宋_GB2312" w:cs="仿宋_GB2312" w:hint="eastAsia"/>
          <w:bCs/>
          <w:szCs w:val="32"/>
        </w:rPr>
        <w:t>推进放射性污染防治。开展放射源安全专项行动，强化辐射安全监管平台管理。加强城市放射性废物库的运行管理及安全保卫，持续开展废旧放射源、长期闲置放射源的收、送贮工作。加强电磁辐射环境管理。优化监测网络，强化电磁辐射环境质量常规监测和电磁辐射设施的监督性监测，完成大型电磁发射设施周边电磁环境调查和电磁辐射水平监测。</w:t>
      </w:r>
    </w:p>
    <w:p w14:paraId="777334F6" w14:textId="77777777" w:rsidR="0017437C" w:rsidRPr="009A1767" w:rsidRDefault="0053037A">
      <w:pPr>
        <w:ind w:firstLine="640"/>
        <w:rPr>
          <w:rFonts w:hAnsi="仿宋_GB2312" w:cs="仿宋_GB2312"/>
          <w:bCs/>
          <w:szCs w:val="32"/>
        </w:rPr>
      </w:pPr>
      <w:r w:rsidRPr="009A1767">
        <w:rPr>
          <w:rFonts w:hAnsi="仿宋_GB2312" w:cs="仿宋_GB2312" w:hint="eastAsia"/>
          <w:bCs/>
          <w:szCs w:val="32"/>
        </w:rPr>
        <w:t>加强核应急响应和辐射监测能力。加快各级核与辐射应急预案和配套执行程序修订。提升核与辐射监测应急支援能力。提升核与辐射事故应急演习实战化水平。</w:t>
      </w:r>
    </w:p>
    <w:p w14:paraId="1456FC69" w14:textId="1E227CDF" w:rsidR="0017437C" w:rsidRPr="009A1767" w:rsidRDefault="0053037A">
      <w:pPr>
        <w:ind w:firstLine="640"/>
        <w:rPr>
          <w:rFonts w:ascii="楷体" w:eastAsia="楷体" w:hAnsi="楷体"/>
          <w:color w:val="0000FF"/>
          <w:szCs w:val="30"/>
          <w:u w:val="single"/>
        </w:rPr>
      </w:pPr>
      <w:r w:rsidRPr="009A1767">
        <w:rPr>
          <w:rFonts w:ascii="楷体" w:eastAsia="楷体" w:hAnsi="楷体" w:hint="eastAsia"/>
          <w:color w:val="0000FF"/>
          <w:szCs w:val="30"/>
          <w:u w:val="single"/>
        </w:rPr>
        <w:t>（十）坚持全民共治，深入践行绿色生活理念。</w:t>
      </w:r>
    </w:p>
    <w:p w14:paraId="681DFE8A" w14:textId="2C1D434A" w:rsidR="0017437C" w:rsidRPr="009A1767" w:rsidRDefault="0053037A">
      <w:pPr>
        <w:ind w:firstLine="640"/>
        <w:rPr>
          <w:szCs w:val="30"/>
        </w:rPr>
      </w:pPr>
      <w:r w:rsidRPr="009A1767">
        <w:rPr>
          <w:rFonts w:hint="eastAsia"/>
          <w:color w:val="0033CC"/>
          <w:szCs w:val="30"/>
          <w:u w:val="single"/>
        </w:rPr>
        <w:t>1</w:t>
      </w:r>
      <w:r w:rsidRPr="009A1767">
        <w:rPr>
          <w:color w:val="0033CC"/>
          <w:szCs w:val="30"/>
          <w:u w:val="single"/>
        </w:rPr>
        <w:t>.</w:t>
      </w:r>
      <w:r w:rsidRPr="009A1767">
        <w:rPr>
          <w:rFonts w:hint="eastAsia"/>
          <w:szCs w:val="30"/>
        </w:rPr>
        <w:t>提升社会生态环保意识</w:t>
      </w:r>
      <w:r w:rsidR="00DE1FAE" w:rsidRPr="009A1767">
        <w:rPr>
          <w:rFonts w:hint="eastAsia"/>
          <w:szCs w:val="30"/>
        </w:rPr>
        <w:t>。</w:t>
      </w:r>
    </w:p>
    <w:p w14:paraId="61BAEF63" w14:textId="56D0DE07" w:rsidR="0017437C" w:rsidRPr="009A1767" w:rsidRDefault="0053037A">
      <w:pPr>
        <w:ind w:firstLine="640"/>
        <w:rPr>
          <w:b/>
          <w:szCs w:val="32"/>
        </w:rPr>
      </w:pPr>
      <w:r w:rsidRPr="009A1767">
        <w:rPr>
          <w:bCs/>
          <w:szCs w:val="32"/>
        </w:rPr>
        <w:t>大力倡导生态文化</w:t>
      </w:r>
      <w:r w:rsidRPr="009A1767">
        <w:rPr>
          <w:rFonts w:hint="eastAsia"/>
          <w:bCs/>
          <w:szCs w:val="32"/>
        </w:rPr>
        <w:t>。</w:t>
      </w:r>
      <w:r w:rsidRPr="009A1767">
        <w:rPr>
          <w:rFonts w:hint="eastAsia"/>
          <w:szCs w:val="32"/>
        </w:rPr>
        <w:t>深入学习贯彻习近平新时代生态文明建设思想的核心价值观，树立和践行绿水青山就是金山银山的理念。加大生态环境宣传产品的制作和传播力度，加大对生态文明建设题材文学创作、影视创作、词曲创作等的支</w:t>
      </w:r>
      <w:r w:rsidRPr="009A1767">
        <w:rPr>
          <w:rFonts w:hint="eastAsia"/>
          <w:szCs w:val="32"/>
        </w:rPr>
        <w:lastRenderedPageBreak/>
        <w:t>持力度</w:t>
      </w:r>
      <w:r w:rsidR="00DE1FAE" w:rsidRPr="009A1767">
        <w:rPr>
          <w:rFonts w:hint="eastAsia"/>
          <w:szCs w:val="32"/>
        </w:rPr>
        <w:t>，</w:t>
      </w:r>
      <w:r w:rsidRPr="009A1767">
        <w:rPr>
          <w:rFonts w:hint="eastAsia"/>
          <w:szCs w:val="32"/>
        </w:rPr>
        <w:t>组织开展“六</w:t>
      </w:r>
      <w:r w:rsidR="00DE1FAE" w:rsidRPr="009A1767">
        <w:rPr>
          <w:rFonts w:hint="eastAsia"/>
          <w:szCs w:val="32"/>
        </w:rPr>
        <w:t>-</w:t>
      </w:r>
      <w:r w:rsidRPr="009A1767">
        <w:rPr>
          <w:rFonts w:hint="eastAsia"/>
          <w:szCs w:val="32"/>
        </w:rPr>
        <w:t>五”环境日等活动</w:t>
      </w:r>
      <w:r w:rsidR="00DE1FAE" w:rsidRPr="009A1767">
        <w:rPr>
          <w:rFonts w:hint="eastAsia"/>
          <w:szCs w:val="32"/>
        </w:rPr>
        <w:t>，</w:t>
      </w:r>
      <w:r w:rsidRPr="009A1767">
        <w:rPr>
          <w:rFonts w:hint="eastAsia"/>
          <w:szCs w:val="32"/>
        </w:rPr>
        <w:t>推动生态文明教育基地创建和巩固提升。</w:t>
      </w:r>
    </w:p>
    <w:p w14:paraId="5B7EA173" w14:textId="34E1E5F1" w:rsidR="0017437C" w:rsidRPr="009A1767" w:rsidRDefault="0053037A">
      <w:pPr>
        <w:ind w:firstLine="640"/>
        <w:rPr>
          <w:szCs w:val="32"/>
        </w:rPr>
      </w:pPr>
      <w:r w:rsidRPr="009A1767">
        <w:rPr>
          <w:rFonts w:hint="eastAsia"/>
          <w:bCs/>
          <w:szCs w:val="32"/>
        </w:rPr>
        <w:t>开展生态文明教育。</w:t>
      </w:r>
      <w:r w:rsidRPr="009A1767">
        <w:rPr>
          <w:rFonts w:hint="eastAsia"/>
          <w:szCs w:val="32"/>
        </w:rPr>
        <w:t>将生态文明纳入国民教育体系、职业教育体系和党政领导干部培训体系。充分新媒体不断丰富生态文明宣传教育形式。加大生态环境保护相关学科建设和高层次人才培养力度，推进环境保护相关职业教育发展。</w:t>
      </w:r>
    </w:p>
    <w:p w14:paraId="2404959E" w14:textId="593F23AB" w:rsidR="0017437C" w:rsidRPr="009A1767" w:rsidRDefault="0053037A">
      <w:pPr>
        <w:ind w:firstLine="640"/>
        <w:rPr>
          <w:szCs w:val="32"/>
        </w:rPr>
      </w:pPr>
      <w:r w:rsidRPr="009A1767">
        <w:rPr>
          <w:rFonts w:hint="eastAsia"/>
          <w:color w:val="0033CC"/>
          <w:szCs w:val="32"/>
          <w:u w:val="single"/>
        </w:rPr>
        <w:t>2</w:t>
      </w:r>
      <w:r w:rsidRPr="009A1767">
        <w:rPr>
          <w:color w:val="0033CC"/>
          <w:szCs w:val="32"/>
          <w:u w:val="single"/>
        </w:rPr>
        <w:t>.</w:t>
      </w:r>
      <w:r w:rsidRPr="009A1767">
        <w:rPr>
          <w:rFonts w:hint="eastAsia"/>
          <w:szCs w:val="32"/>
        </w:rPr>
        <w:t>倡导生态保护全民行动</w:t>
      </w:r>
      <w:r w:rsidR="00DE1FAE" w:rsidRPr="009A1767">
        <w:rPr>
          <w:rFonts w:hint="eastAsia"/>
          <w:szCs w:val="32"/>
        </w:rPr>
        <w:t>。</w:t>
      </w:r>
    </w:p>
    <w:p w14:paraId="5EEC83E5" w14:textId="169B68C8" w:rsidR="0017437C" w:rsidRPr="009A1767" w:rsidRDefault="0053037A">
      <w:pPr>
        <w:ind w:firstLine="640"/>
        <w:rPr>
          <w:rFonts w:hAnsi="仿宋_GB2312" w:cs="仿宋_GB2312"/>
          <w:szCs w:val="32"/>
        </w:rPr>
      </w:pPr>
      <w:r w:rsidRPr="009A1767">
        <w:rPr>
          <w:rFonts w:hAnsi="仿宋_GB2312" w:cs="仿宋_GB2312" w:hint="eastAsia"/>
          <w:bCs/>
          <w:szCs w:val="32"/>
        </w:rPr>
        <w:t>落实企业生态环境责任。</w:t>
      </w:r>
      <w:r w:rsidRPr="009A1767">
        <w:rPr>
          <w:rFonts w:hAnsi="仿宋_GB2312" w:cs="仿宋_GB2312" w:hint="eastAsia"/>
          <w:szCs w:val="32"/>
        </w:rPr>
        <w:t>从源头防治污染，依法依规淘汰落后生产工艺技术，积极践行绿色生产方式，减少污染物排放，履行污染治理主体责任。排污企业依法依规向社会公开相关环境信息。鼓励企业组织开展生态文明公益活动。</w:t>
      </w:r>
    </w:p>
    <w:p w14:paraId="328CDC8E" w14:textId="630F842A" w:rsidR="0017437C" w:rsidRPr="009A1767" w:rsidRDefault="0053037A">
      <w:pPr>
        <w:ind w:firstLine="640"/>
        <w:rPr>
          <w:rFonts w:hAnsi="仿宋_GB2312" w:cs="仿宋_GB2312"/>
          <w:szCs w:val="32"/>
        </w:rPr>
      </w:pPr>
      <w:r w:rsidRPr="009A1767">
        <w:rPr>
          <w:rFonts w:hAnsi="仿宋_GB2312" w:cs="仿宋_GB2312" w:hint="eastAsia"/>
          <w:bCs/>
          <w:szCs w:val="32"/>
        </w:rPr>
        <w:t>发挥各类社会主体作用。</w:t>
      </w:r>
      <w:r w:rsidRPr="009A1767">
        <w:rPr>
          <w:rFonts w:hAnsi="仿宋_GB2312" w:cs="仿宋_GB2312" w:hint="eastAsia"/>
          <w:szCs w:val="32"/>
        </w:rPr>
        <w:t>工会、共青团、妇联等群团组织应积极动员广大职工、青年、妇女参与生态环境保护。发展生态环保志愿服务项目和志愿者队伍。加强对社会组织的管理和指导。引导具备资格的环保组织依法开展生态环境公益诉讼等活动。鼓励公益慈善基金会助推生态环保公益发展。鼓励村规民约、居民公约加强生态环境保护。</w:t>
      </w:r>
    </w:p>
    <w:p w14:paraId="60F610CC" w14:textId="5FC39F50" w:rsidR="0017437C" w:rsidRPr="009A1767" w:rsidRDefault="0053037A">
      <w:pPr>
        <w:ind w:firstLine="640"/>
        <w:rPr>
          <w:rFonts w:hAnsi="仿宋_GB2312" w:cs="仿宋_GB2312"/>
          <w:szCs w:val="32"/>
        </w:rPr>
      </w:pPr>
      <w:r w:rsidRPr="009A1767">
        <w:rPr>
          <w:rFonts w:hAnsi="仿宋_GB2312" w:cs="仿宋_GB2312" w:hint="eastAsia"/>
          <w:bCs/>
          <w:szCs w:val="32"/>
        </w:rPr>
        <w:t>强化社会公众参与监督。</w:t>
      </w:r>
      <w:r w:rsidRPr="009A1767">
        <w:rPr>
          <w:rFonts w:hAnsi="仿宋_GB2312" w:cs="仿宋_GB2312" w:hint="eastAsia"/>
          <w:szCs w:val="32"/>
        </w:rPr>
        <w:t>开展绿色生活创建活动，广泛推广绿色低碳、文明健康的生活理念和生活方式。大力倡导绿色消费，适时实施全面禁塑</w:t>
      </w:r>
      <w:r w:rsidR="00DE1FAE" w:rsidRPr="009A1767">
        <w:rPr>
          <w:rFonts w:hAnsi="仿宋_GB2312" w:cs="仿宋_GB2312" w:hint="eastAsia"/>
          <w:szCs w:val="32"/>
        </w:rPr>
        <w:t>，</w:t>
      </w:r>
      <w:r w:rsidRPr="009A1767">
        <w:rPr>
          <w:rFonts w:hAnsi="仿宋_GB2312" w:cs="仿宋_GB2312" w:hint="eastAsia"/>
          <w:szCs w:val="32"/>
        </w:rPr>
        <w:t>推进市域社区基础设施绿色化，推进信访投诉工作机制改革</w:t>
      </w:r>
      <w:r w:rsidR="00DE1FAE" w:rsidRPr="009A1767">
        <w:rPr>
          <w:rFonts w:hAnsi="仿宋_GB2312" w:cs="仿宋_GB2312" w:hint="eastAsia"/>
          <w:szCs w:val="32"/>
        </w:rPr>
        <w:t>。</w:t>
      </w:r>
      <w:r w:rsidRPr="009A1767">
        <w:rPr>
          <w:rFonts w:hAnsi="仿宋_GB2312" w:cs="仿宋_GB2312" w:hint="eastAsia"/>
          <w:szCs w:val="32"/>
        </w:rPr>
        <w:t>大力宣传生态环境保护先</w:t>
      </w:r>
      <w:r w:rsidRPr="009A1767">
        <w:rPr>
          <w:rFonts w:hAnsi="仿宋_GB2312" w:cs="仿宋_GB2312" w:hint="eastAsia"/>
          <w:szCs w:val="32"/>
        </w:rPr>
        <w:lastRenderedPageBreak/>
        <w:t>进典型，鼓励新闻媒体设立“曝光台”或专栏，对各类破坏生态环境问题、突发环境事件、环境违法行为进行曝光和跟踪。健全环境决策公众参与机制，保障公众的知情权、监督权、参与权。</w:t>
      </w:r>
    </w:p>
    <w:p w14:paraId="5AEF3A73" w14:textId="6EC3A207" w:rsidR="0017437C" w:rsidRPr="009A1767" w:rsidRDefault="0053037A">
      <w:pPr>
        <w:ind w:firstLine="640"/>
        <w:rPr>
          <w:szCs w:val="32"/>
        </w:rPr>
      </w:pPr>
      <w:r w:rsidRPr="009A1767">
        <w:rPr>
          <w:rFonts w:hint="eastAsia"/>
          <w:color w:val="0033CC"/>
          <w:szCs w:val="32"/>
          <w:u w:val="single"/>
        </w:rPr>
        <w:t>3</w:t>
      </w:r>
      <w:r w:rsidRPr="009A1767">
        <w:rPr>
          <w:color w:val="0033CC"/>
          <w:szCs w:val="32"/>
          <w:u w:val="single"/>
        </w:rPr>
        <w:t>.</w:t>
      </w:r>
      <w:r w:rsidRPr="009A1767">
        <w:rPr>
          <w:rFonts w:hint="eastAsia"/>
          <w:szCs w:val="32"/>
        </w:rPr>
        <w:t>推行绿色低碳生活方式</w:t>
      </w:r>
      <w:r w:rsidR="00DE1FAE" w:rsidRPr="009A1767">
        <w:rPr>
          <w:rFonts w:hint="eastAsia"/>
          <w:szCs w:val="32"/>
        </w:rPr>
        <w:t>。</w:t>
      </w:r>
    </w:p>
    <w:p w14:paraId="26A22D8A" w14:textId="286F2D07" w:rsidR="0017437C" w:rsidRPr="009A1767" w:rsidRDefault="0053037A">
      <w:pPr>
        <w:ind w:firstLine="640"/>
        <w:rPr>
          <w:szCs w:val="32"/>
        </w:rPr>
      </w:pPr>
      <w:r w:rsidRPr="009A1767">
        <w:rPr>
          <w:rFonts w:hAnsi="仿宋_GB2312" w:cs="仿宋_GB2312" w:hint="eastAsia"/>
          <w:szCs w:val="32"/>
        </w:rPr>
        <w:t>深入推进低碳试点示范。</w:t>
      </w:r>
      <w:r w:rsidRPr="009A1767">
        <w:rPr>
          <w:rFonts w:hAnsi="仿宋_GB2312" w:cs="仿宋_GB2312" w:hint="eastAsia"/>
          <w:bCs/>
          <w:szCs w:val="32"/>
        </w:rPr>
        <w:t>积极落实碳排放峰值目标，开展低碳园区、低碳社区、低碳景区、低碳商业机构试点建设</w:t>
      </w:r>
      <w:r w:rsidR="00A811A8" w:rsidRPr="009A1767">
        <w:rPr>
          <w:rFonts w:hAnsi="仿宋_GB2312" w:cs="仿宋_GB2312" w:hint="eastAsia"/>
          <w:bCs/>
          <w:szCs w:val="32"/>
        </w:rPr>
        <w:t>。</w:t>
      </w:r>
      <w:r w:rsidRPr="009A1767">
        <w:rPr>
          <w:rFonts w:hAnsi="仿宋_GB2312" w:cs="仿宋_GB2312" w:hint="eastAsia"/>
          <w:bCs/>
          <w:szCs w:val="32"/>
        </w:rPr>
        <w:t>积极探索绿色低碳的新产品、新技术、新模式，推进生产生活方式绿色低碳转型。</w:t>
      </w:r>
      <w:r w:rsidRPr="009A1767">
        <w:rPr>
          <w:rFonts w:hint="eastAsia"/>
          <w:szCs w:val="32"/>
        </w:rPr>
        <w:t>推广应用建筑节能、零碳交通、分布式发电、绿化减碳及智慧综合能源管理等先进智慧与清洁能源技术，培育一批率先实现碳中和的零碳园区和零碳社区。</w:t>
      </w:r>
    </w:p>
    <w:p w14:paraId="36B9BFDB" w14:textId="4C0B4BD2" w:rsidR="0017437C" w:rsidRPr="009A1767" w:rsidRDefault="0053037A">
      <w:pPr>
        <w:ind w:firstLine="640"/>
        <w:rPr>
          <w:rFonts w:hAnsi="仿宋" w:cs="Arial"/>
          <w:szCs w:val="28"/>
        </w:rPr>
      </w:pPr>
      <w:r w:rsidRPr="009A1767">
        <w:rPr>
          <w:rFonts w:hAnsi="仿宋" w:cs="Arial" w:hint="eastAsia"/>
          <w:bCs/>
          <w:szCs w:val="28"/>
        </w:rPr>
        <w:t>推动绿色建筑全面发展。</w:t>
      </w:r>
      <w:r w:rsidRPr="009A1767">
        <w:rPr>
          <w:rFonts w:hAnsi="仿宋" w:cs="Arial" w:hint="eastAsia"/>
          <w:szCs w:val="28"/>
        </w:rPr>
        <w:t>大力发展绿色建筑</w:t>
      </w:r>
      <w:r w:rsidR="00A811A8" w:rsidRPr="009A1767">
        <w:rPr>
          <w:rFonts w:hAnsi="仿宋" w:cs="Arial" w:hint="eastAsia"/>
          <w:szCs w:val="28"/>
        </w:rPr>
        <w:t>，</w:t>
      </w:r>
      <w:r w:rsidRPr="009A1767">
        <w:rPr>
          <w:rFonts w:hAnsi="仿宋" w:cs="Arial" w:hint="eastAsia"/>
          <w:szCs w:val="28"/>
        </w:rPr>
        <w:t>大力发展装配式建筑，积极推进农村建筑节能。</w:t>
      </w:r>
    </w:p>
    <w:p w14:paraId="0F01FB4B" w14:textId="333A6335" w:rsidR="0017437C" w:rsidRPr="009A1767" w:rsidRDefault="0053037A">
      <w:pPr>
        <w:ind w:firstLine="640"/>
        <w:rPr>
          <w:rFonts w:ascii="仿宋" w:hAnsi="仿宋" w:cs="Arial"/>
          <w:szCs w:val="28"/>
        </w:rPr>
      </w:pPr>
      <w:r w:rsidRPr="009A1767">
        <w:rPr>
          <w:rFonts w:ascii="仿宋" w:hAnsi="仿宋" w:cs="Arial" w:hint="eastAsia"/>
          <w:bCs/>
          <w:szCs w:val="28"/>
        </w:rPr>
        <w:t>倡导绿色出行、绿色消费。</w:t>
      </w:r>
      <w:r w:rsidRPr="009A1767">
        <w:rPr>
          <w:rFonts w:ascii="仿宋" w:hAnsi="仿宋" w:cs="Arial"/>
          <w:szCs w:val="28"/>
        </w:rPr>
        <w:t>加强公共交通和自行车道、步行道等慢行交通</w:t>
      </w:r>
      <w:r w:rsidRPr="009A1767">
        <w:rPr>
          <w:rFonts w:ascii="仿宋" w:hAnsi="仿宋" w:cs="Arial" w:hint="eastAsia"/>
          <w:szCs w:val="28"/>
        </w:rPr>
        <w:t>系统建设管理。</w:t>
      </w:r>
      <w:r w:rsidRPr="009A1767">
        <w:rPr>
          <w:rFonts w:ascii="仿宋" w:hAnsi="仿宋" w:cs="Arial"/>
          <w:szCs w:val="28"/>
        </w:rPr>
        <w:t>加快充电基础设施建设，公交、出租汽车等领域推广使用新能源车。引导公众出行优先选择公共交通、步行和自行车等绿色方式</w:t>
      </w:r>
      <w:r w:rsidR="00A811A8" w:rsidRPr="009A1767">
        <w:rPr>
          <w:rFonts w:ascii="仿宋" w:hAnsi="仿宋" w:cs="Arial" w:hint="eastAsia"/>
          <w:szCs w:val="28"/>
        </w:rPr>
        <w:t>。</w:t>
      </w:r>
      <w:r w:rsidRPr="009A1767">
        <w:rPr>
          <w:rFonts w:ascii="仿宋" w:hAnsi="仿宋" w:cs="Arial" w:hint="eastAsia"/>
          <w:szCs w:val="28"/>
        </w:rPr>
        <w:t>完善节能家电、高效照明产品、节水器具等绿色产品推广机制，探索对消费者购置节能、智能型家电产品给予适当支持。深入开展餐饮行业“光盘”行动。</w:t>
      </w:r>
    </w:p>
    <w:p w14:paraId="5A1231B4" w14:textId="0F792643" w:rsidR="0017437C" w:rsidRPr="009A1767" w:rsidRDefault="0053037A">
      <w:pPr>
        <w:ind w:firstLine="640"/>
        <w:rPr>
          <w:szCs w:val="32"/>
        </w:rPr>
      </w:pPr>
      <w:r w:rsidRPr="009A1767">
        <w:rPr>
          <w:rFonts w:hAnsi="仿宋_GB2312" w:cs="仿宋_GB2312" w:hint="eastAsia"/>
          <w:bCs/>
          <w:szCs w:val="32"/>
        </w:rPr>
        <w:t>强化白色污染治理。</w:t>
      </w:r>
      <w:r w:rsidRPr="009A1767">
        <w:rPr>
          <w:rFonts w:hAnsi="Calibri" w:cs="Times New Roman" w:hint="eastAsia"/>
          <w:szCs w:val="24"/>
        </w:rPr>
        <w:t>全面落实《山西省禁止不可降解一</w:t>
      </w:r>
      <w:r w:rsidRPr="009A1767">
        <w:rPr>
          <w:rFonts w:hAnsi="Calibri" w:cs="Times New Roman" w:hint="eastAsia"/>
          <w:szCs w:val="24"/>
        </w:rPr>
        <w:lastRenderedPageBreak/>
        <w:t>次性塑料制品规定》。积极推广替代产品</w:t>
      </w:r>
      <w:r w:rsidR="00A811A8" w:rsidRPr="009A1767">
        <w:rPr>
          <w:rFonts w:hAnsi="Calibri" w:cs="Times New Roman" w:hint="eastAsia"/>
          <w:szCs w:val="24"/>
        </w:rPr>
        <w:t>，</w:t>
      </w:r>
      <w:r w:rsidRPr="009A1767">
        <w:rPr>
          <w:rFonts w:hAnsi="Calibri" w:cs="Times New Roman" w:hint="eastAsia"/>
          <w:szCs w:val="24"/>
        </w:rPr>
        <w:t>禁止部分塑料制品生产、销售和使用。推进废旧农膜回收利用。常态化开展河湖水域、岸线、滩地等重点区域塑料垃圾清理。加大宣传教育和知识普及，鼓励公众使用环保布袋、纸袋等非塑制品和可降解塑料购物袋，减少使用不可降解一次性塑料制品。</w:t>
      </w:r>
    </w:p>
    <w:p w14:paraId="0709AED8" w14:textId="77777777" w:rsidR="0017437C" w:rsidRPr="009A1767" w:rsidRDefault="0053037A">
      <w:pPr>
        <w:ind w:firstLine="640"/>
        <w:rPr>
          <w:rFonts w:ascii="黑体" w:eastAsia="黑体" w:hAnsi="黑体"/>
          <w:szCs w:val="32"/>
        </w:rPr>
      </w:pPr>
      <w:r w:rsidRPr="009A1767">
        <w:rPr>
          <w:rFonts w:ascii="黑体" w:eastAsia="黑体" w:hAnsi="黑体" w:hint="eastAsia"/>
          <w:szCs w:val="32"/>
        </w:rPr>
        <w:t>四、重点工程</w:t>
      </w:r>
    </w:p>
    <w:p w14:paraId="19854FE4" w14:textId="77777777" w:rsidR="0017437C" w:rsidRPr="009A1767" w:rsidRDefault="0053037A">
      <w:pPr>
        <w:ind w:firstLine="640"/>
        <w:rPr>
          <w:szCs w:val="32"/>
        </w:rPr>
      </w:pPr>
      <w:r w:rsidRPr="009A1767">
        <w:rPr>
          <w:rFonts w:hint="eastAsia"/>
          <w:szCs w:val="32"/>
        </w:rPr>
        <w:t>按照中央和省委、市委有关做好做实生态环境保护领域基础设施建设的超前谋划、推进实施及资金保障等要求，围绕“十四五”生态环境保护重点工作任务，并结合全市生态环境保护项目谋划情况，研究提出“十四五”期间拟实施的重要工程，主要包括大气环境质量改善、水环境质量改善、土壤环境保护、环境风险防范、生态修复治理、环境监管能力建设等领域。</w:t>
      </w:r>
    </w:p>
    <w:p w14:paraId="2A5692E1" w14:textId="77777777" w:rsidR="0017437C" w:rsidRPr="009A1767" w:rsidRDefault="0053037A">
      <w:pPr>
        <w:ind w:firstLine="640"/>
        <w:rPr>
          <w:rFonts w:ascii="黑体" w:eastAsia="黑体" w:hAnsi="黑体"/>
          <w:szCs w:val="32"/>
        </w:rPr>
      </w:pPr>
      <w:r w:rsidRPr="009A1767">
        <w:rPr>
          <w:rFonts w:ascii="黑体" w:eastAsia="黑体" w:hAnsi="黑体" w:hint="eastAsia"/>
          <w:szCs w:val="32"/>
        </w:rPr>
        <w:t>五、保障措施</w:t>
      </w:r>
    </w:p>
    <w:p w14:paraId="564D8C4A" w14:textId="77777777" w:rsidR="0017437C" w:rsidRPr="009A1767" w:rsidRDefault="0053037A">
      <w:pPr>
        <w:ind w:firstLine="640"/>
        <w:rPr>
          <w:rFonts w:ascii="楷体" w:eastAsia="楷体" w:hAnsi="楷体"/>
          <w:color w:val="0000FF"/>
          <w:szCs w:val="32"/>
          <w:u w:val="single"/>
        </w:rPr>
      </w:pPr>
      <w:r w:rsidRPr="009A1767">
        <w:rPr>
          <w:rFonts w:ascii="楷体" w:eastAsia="楷体" w:hAnsi="楷体" w:hint="eastAsia"/>
          <w:color w:val="0000FF"/>
          <w:szCs w:val="32"/>
          <w:u w:val="single"/>
        </w:rPr>
        <w:t>（一）强化组织领导。</w:t>
      </w:r>
    </w:p>
    <w:p w14:paraId="780BE8D1" w14:textId="77777777" w:rsidR="0017437C" w:rsidRPr="009A1767" w:rsidRDefault="0053037A">
      <w:pPr>
        <w:pStyle w:val="af"/>
        <w:spacing w:before="0" w:beforeAutospacing="0" w:after="0" w:afterAutospacing="0" w:line="360" w:lineRule="auto"/>
        <w:ind w:firstLineChars="200" w:firstLine="640"/>
        <w:jc w:val="both"/>
        <w:rPr>
          <w:rFonts w:ascii="仿宋_GB2312" w:eastAsia="仿宋_GB2312" w:hAnsi="仿宋_GB2312" w:cs="仿宋_GB2312"/>
          <w:kern w:val="2"/>
          <w:sz w:val="32"/>
          <w:szCs w:val="32"/>
        </w:rPr>
      </w:pPr>
      <w:r w:rsidRPr="009A1767">
        <w:rPr>
          <w:rFonts w:ascii="仿宋_GB2312" w:eastAsia="仿宋_GB2312" w:hAnsi="仿宋_GB2312" w:cs="仿宋_GB2312" w:hint="eastAsia"/>
          <w:kern w:val="2"/>
          <w:sz w:val="32"/>
          <w:szCs w:val="32"/>
        </w:rPr>
        <w:t>各县（市、区）党委和政府及有关部门要认真落实“党政同责、一岗双责”，把生态环境目标、任务、措施和重点工程纳入本地区国民经济和社会发展规划，确保各项工作任务落地落实。各职能部门要按照本规划确定的目标任务，组织制订具体实施方案，严格履行生态环境保护职责，各司其职，密切配合，进一步构建齐抓共管的大环保格局。</w:t>
      </w:r>
    </w:p>
    <w:p w14:paraId="7BEF9661" w14:textId="77777777" w:rsidR="0017437C" w:rsidRPr="009A1767" w:rsidRDefault="0053037A">
      <w:pPr>
        <w:ind w:firstLine="640"/>
        <w:rPr>
          <w:rFonts w:ascii="楷体" w:eastAsia="楷体" w:hAnsi="楷体"/>
          <w:color w:val="0000FF"/>
          <w:szCs w:val="32"/>
          <w:u w:val="single"/>
        </w:rPr>
      </w:pPr>
      <w:r w:rsidRPr="009A1767">
        <w:rPr>
          <w:rFonts w:ascii="楷体" w:eastAsia="楷体" w:hAnsi="楷体" w:hint="eastAsia"/>
          <w:color w:val="0000FF"/>
          <w:szCs w:val="32"/>
          <w:u w:val="single"/>
        </w:rPr>
        <w:lastRenderedPageBreak/>
        <w:t>（二）强化队伍建设。</w:t>
      </w:r>
    </w:p>
    <w:p w14:paraId="3168FC34" w14:textId="77777777" w:rsidR="0017437C" w:rsidRPr="009A1767" w:rsidRDefault="0053037A">
      <w:pPr>
        <w:ind w:firstLine="640"/>
        <w:rPr>
          <w:rFonts w:hAnsi="仿宋_GB2312" w:cs="仿宋_GB2312"/>
          <w:szCs w:val="32"/>
        </w:rPr>
      </w:pPr>
      <w:r w:rsidRPr="009A1767">
        <w:rPr>
          <w:rFonts w:hAnsi="仿宋_GB2312" w:cs="仿宋_GB2312" w:hint="eastAsia"/>
          <w:szCs w:val="32"/>
        </w:rPr>
        <w:t>加大生态环境领域领军人物和高层次人才培养力度，加强应对气候变化、固废和化学品环境管理、土壤环境监管等急需紧缺领域生态环保队伍建设。重点提升县（市、区）乡镇（街道）等基层生态环境队伍能力，强化综合执法监管业务能力培训，定期开展环境监测专业技术人员大比武、生态环境保护执法大练兵等活动。按照有关规定对生态环保铁军标兵集体和个人予以表彰。</w:t>
      </w:r>
    </w:p>
    <w:p w14:paraId="23A01F33" w14:textId="77777777" w:rsidR="0017437C" w:rsidRPr="009A1767" w:rsidRDefault="0053037A">
      <w:pPr>
        <w:ind w:firstLine="640"/>
        <w:rPr>
          <w:rFonts w:ascii="楷体" w:eastAsia="楷体" w:hAnsi="楷体"/>
          <w:color w:val="0000FF"/>
          <w:szCs w:val="32"/>
          <w:u w:val="single"/>
        </w:rPr>
      </w:pPr>
      <w:r w:rsidRPr="009A1767">
        <w:rPr>
          <w:rFonts w:ascii="楷体" w:eastAsia="楷体" w:hAnsi="楷体" w:hint="eastAsia"/>
          <w:color w:val="0000FF"/>
          <w:szCs w:val="32"/>
          <w:u w:val="single"/>
        </w:rPr>
        <w:t>（三）强化宣传引导。</w:t>
      </w:r>
    </w:p>
    <w:p w14:paraId="50D9A5DE" w14:textId="77777777" w:rsidR="0017437C" w:rsidRPr="009A1767" w:rsidRDefault="0053037A">
      <w:pPr>
        <w:pStyle w:val="af"/>
        <w:spacing w:before="0" w:beforeAutospacing="0" w:after="0" w:afterAutospacing="0" w:line="360" w:lineRule="auto"/>
        <w:ind w:firstLineChars="200" w:firstLine="640"/>
        <w:jc w:val="both"/>
        <w:rPr>
          <w:rFonts w:ascii="仿宋_GB2312" w:eastAsia="仿宋_GB2312" w:hAnsi="仿宋_GB2312" w:cs="仿宋_GB2312"/>
          <w:kern w:val="2"/>
          <w:sz w:val="32"/>
          <w:szCs w:val="32"/>
        </w:rPr>
      </w:pPr>
      <w:r w:rsidRPr="009A1767">
        <w:rPr>
          <w:rFonts w:ascii="仿宋_GB2312" w:eastAsia="仿宋_GB2312" w:hAnsi="仿宋_GB2312" w:cs="仿宋_GB2312"/>
          <w:kern w:val="2"/>
          <w:sz w:val="32"/>
          <w:szCs w:val="32"/>
        </w:rPr>
        <w:t>充分利用报纸、电视、网络、社交平台和数字媒介等各类媒体，加大规划的宣传力度，定期公布环境质量、项目建设、资金投入等规划实施信息，确保规划实施情况及时公开。充分发挥公众和新闻媒体等社会力量的监督作用，</w:t>
      </w:r>
      <w:r w:rsidRPr="009A1767">
        <w:rPr>
          <w:rFonts w:ascii="仿宋_GB2312" w:eastAsia="仿宋_GB2312" w:hAnsi="仿宋_GB2312" w:cs="仿宋_GB2312" w:hint="eastAsia"/>
          <w:kern w:val="2"/>
          <w:sz w:val="32"/>
          <w:szCs w:val="32"/>
        </w:rPr>
        <w:t>畅通公众监督渠道，</w:t>
      </w:r>
      <w:r w:rsidRPr="009A1767">
        <w:rPr>
          <w:rFonts w:ascii="仿宋_GB2312" w:eastAsia="仿宋_GB2312" w:hAnsi="仿宋_GB2312" w:cs="仿宋_GB2312"/>
          <w:kern w:val="2"/>
          <w:sz w:val="32"/>
          <w:szCs w:val="32"/>
        </w:rPr>
        <w:t>强化环保志愿者作用，建立规划实施公众反馈和监督机制。</w:t>
      </w:r>
    </w:p>
    <w:p w14:paraId="48BD1448" w14:textId="77777777" w:rsidR="0017437C" w:rsidRPr="009A1767" w:rsidRDefault="0053037A">
      <w:pPr>
        <w:ind w:firstLine="640"/>
        <w:rPr>
          <w:rFonts w:ascii="楷体" w:eastAsia="楷体" w:hAnsi="楷体"/>
          <w:color w:val="0000FF"/>
          <w:szCs w:val="32"/>
          <w:u w:val="single"/>
        </w:rPr>
      </w:pPr>
      <w:r w:rsidRPr="009A1767">
        <w:rPr>
          <w:rFonts w:ascii="楷体" w:eastAsia="楷体" w:hAnsi="楷体" w:hint="eastAsia"/>
          <w:color w:val="0000FF"/>
          <w:szCs w:val="32"/>
          <w:u w:val="single"/>
        </w:rPr>
        <w:t>（四）强化评估考核。</w:t>
      </w:r>
    </w:p>
    <w:p w14:paraId="50002556" w14:textId="632C585E" w:rsidR="0017437C" w:rsidRDefault="0053037A" w:rsidP="00A811A8">
      <w:pPr>
        <w:pStyle w:val="af"/>
        <w:spacing w:before="0" w:beforeAutospacing="0" w:after="0" w:afterAutospacing="0" w:line="360" w:lineRule="auto"/>
        <w:ind w:firstLineChars="200" w:firstLine="640"/>
        <w:jc w:val="both"/>
        <w:rPr>
          <w:rFonts w:ascii="仿宋_GB2312" w:eastAsia="仿宋_GB2312" w:hAnsiTheme="minorHAnsi" w:cstheme="minorBidi"/>
          <w:sz w:val="32"/>
          <w:szCs w:val="22"/>
          <w:lang w:val="ru-RU"/>
        </w:rPr>
      </w:pPr>
      <w:r w:rsidRPr="009A1767">
        <w:rPr>
          <w:rFonts w:ascii="仿宋_GB2312" w:eastAsia="仿宋_GB2312" w:hAnsi="仿宋_GB2312" w:cs="仿宋_GB2312" w:hint="eastAsia"/>
          <w:kern w:val="2"/>
          <w:sz w:val="32"/>
          <w:szCs w:val="32"/>
        </w:rPr>
        <w:t>完善规划实施的考核评估机制，及时发布规划实施进展情况。强化人大监督作用，依法向市人大常委会报告规划实施情况，自觉接受人大监督。加强规划实施评估考核，把主要任务和目标纳入生态环境目标管理考核。定期组织调度，</w:t>
      </w:r>
      <w:r w:rsidRPr="009A1767">
        <w:rPr>
          <w:rFonts w:ascii="仿宋_GB2312" w:eastAsia="仿宋_GB2312" w:hAnsi="仿宋_GB2312" w:cs="仿宋_GB2312" w:hint="eastAsia"/>
          <w:kern w:val="2"/>
          <w:sz w:val="32"/>
          <w:szCs w:val="32"/>
        </w:rPr>
        <w:lastRenderedPageBreak/>
        <w:t>开展中期评估和总结评估，依据评估结果对规划目标和任务进行科学调整</w:t>
      </w:r>
      <w:r w:rsidR="00A811A8" w:rsidRPr="009A1767">
        <w:rPr>
          <w:rFonts w:ascii="仿宋_GB2312" w:eastAsia="仿宋_GB2312" w:hAnsi="仿宋_GB2312" w:cs="仿宋_GB2312" w:hint="eastAsia"/>
          <w:kern w:val="2"/>
          <w:sz w:val="32"/>
          <w:szCs w:val="32"/>
        </w:rPr>
        <w:t>。</w:t>
      </w:r>
      <w:bookmarkStart w:id="41" w:name="_Toc92473324"/>
      <w:bookmarkEnd w:id="41"/>
    </w:p>
    <w:sectPr w:rsidR="0017437C">
      <w:footerReference w:type="first" r:id="rId14"/>
      <w:pgSz w:w="11906" w:h="16838"/>
      <w:pgMar w:top="1440" w:right="1800" w:bottom="1440" w:left="1800" w:header="851" w:footer="992" w:gutter="0"/>
      <w:cols w:space="425"/>
      <w:titlePg/>
      <w:docGrid w:type="lines" w:linePitch="4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DB75F0" w14:textId="77777777" w:rsidR="00364573" w:rsidRDefault="00364573">
      <w:pPr>
        <w:spacing w:line="240" w:lineRule="auto"/>
        <w:ind w:firstLine="640"/>
      </w:pPr>
      <w:r>
        <w:separator/>
      </w:r>
    </w:p>
  </w:endnote>
  <w:endnote w:type="continuationSeparator" w:id="0">
    <w:p w14:paraId="2F74D6C6" w14:textId="77777777" w:rsidR="00364573" w:rsidRDefault="00364573">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AB0AB3" w14:textId="77777777" w:rsidR="0017437C" w:rsidRDefault="0017437C">
    <w:pPr>
      <w:pStyle w:val="ab"/>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8433668"/>
    </w:sdtPr>
    <w:sdtEndPr>
      <w:rPr>
        <w:sz w:val="24"/>
        <w:szCs w:val="24"/>
      </w:rPr>
    </w:sdtEndPr>
    <w:sdtContent>
      <w:p w14:paraId="06E6A22E" w14:textId="7D3003C5" w:rsidR="0017437C" w:rsidRDefault="0053037A">
        <w:pPr>
          <w:pStyle w:val="ab"/>
          <w:ind w:firstLineChars="0" w:firstLine="0"/>
          <w:jc w:val="center"/>
          <w:rPr>
            <w:sz w:val="24"/>
            <w:szCs w:val="24"/>
          </w:rPr>
        </w:pPr>
        <w:r>
          <w:rPr>
            <w:sz w:val="24"/>
            <w:szCs w:val="24"/>
          </w:rPr>
          <w:fldChar w:fldCharType="begin"/>
        </w:r>
        <w:r>
          <w:rPr>
            <w:sz w:val="24"/>
            <w:szCs w:val="24"/>
          </w:rPr>
          <w:instrText>PAGE   \* MERGEFORMAT</w:instrText>
        </w:r>
        <w:r>
          <w:rPr>
            <w:sz w:val="24"/>
            <w:szCs w:val="24"/>
          </w:rPr>
          <w:fldChar w:fldCharType="separate"/>
        </w:r>
        <w:r w:rsidR="00A73C0F" w:rsidRPr="00A73C0F">
          <w:rPr>
            <w:noProof/>
            <w:sz w:val="24"/>
            <w:szCs w:val="24"/>
            <w:lang w:val="zh-CN"/>
          </w:rPr>
          <w:t>2</w:t>
        </w:r>
        <w:r>
          <w:rPr>
            <w:sz w:val="24"/>
            <w:szCs w:val="24"/>
          </w:rPr>
          <w:fldChar w:fldCharType="end"/>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3FD556" w14:textId="77777777" w:rsidR="0017437C" w:rsidRDefault="0017437C">
    <w:pPr>
      <w:pStyle w:val="ab"/>
      <w:spacing w:line="240" w:lineRule="auto"/>
      <w:ind w:firstLine="480"/>
      <w:jc w:val="center"/>
      <w:rPr>
        <w:sz w:val="24"/>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0177"/>
    </w:sdtPr>
    <w:sdtEndPr>
      <w:rPr>
        <w:sz w:val="21"/>
        <w:szCs w:val="21"/>
      </w:rPr>
    </w:sdtEndPr>
    <w:sdtContent>
      <w:p w14:paraId="5231FF9D" w14:textId="134CEDB1" w:rsidR="0017437C" w:rsidRDefault="0053037A">
        <w:pPr>
          <w:pStyle w:val="ab"/>
          <w:ind w:firstLineChars="0" w:firstLine="0"/>
          <w:jc w:val="center"/>
        </w:pPr>
        <w:r>
          <w:rPr>
            <w:sz w:val="24"/>
            <w:szCs w:val="24"/>
          </w:rPr>
          <w:fldChar w:fldCharType="begin"/>
        </w:r>
        <w:r>
          <w:rPr>
            <w:sz w:val="24"/>
            <w:szCs w:val="24"/>
          </w:rPr>
          <w:instrText xml:space="preserve"> PAGE   \* MERGEFORMAT </w:instrText>
        </w:r>
        <w:r>
          <w:rPr>
            <w:sz w:val="24"/>
            <w:szCs w:val="24"/>
          </w:rPr>
          <w:fldChar w:fldCharType="separate"/>
        </w:r>
        <w:r w:rsidR="00A73C0F" w:rsidRPr="00A73C0F">
          <w:rPr>
            <w:noProof/>
            <w:sz w:val="24"/>
            <w:szCs w:val="24"/>
            <w:lang w:val="zh-CN"/>
          </w:rPr>
          <w:t>3</w:t>
        </w:r>
        <w:r>
          <w:rPr>
            <w:sz w:val="24"/>
            <w:szCs w:val="24"/>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C39FF7" w14:textId="77777777" w:rsidR="00364573" w:rsidRDefault="00364573">
      <w:pPr>
        <w:ind w:firstLine="640"/>
      </w:pPr>
      <w:r>
        <w:separator/>
      </w:r>
    </w:p>
  </w:footnote>
  <w:footnote w:type="continuationSeparator" w:id="0">
    <w:p w14:paraId="0506A0E2" w14:textId="77777777" w:rsidR="00364573" w:rsidRDefault="00364573">
      <w:pPr>
        <w:ind w:firstLine="64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E1689" w14:textId="77777777" w:rsidR="0017437C" w:rsidRDefault="0017437C">
    <w:pPr>
      <w:pStyle w:val="ad"/>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5C4044" w14:textId="77777777" w:rsidR="0017437C" w:rsidRDefault="0017437C">
    <w:pPr>
      <w:pStyle w:val="ad"/>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4343AB" w14:textId="77777777" w:rsidR="0017437C" w:rsidRDefault="0017437C">
    <w:pPr>
      <w:pStyle w:val="ad"/>
      <w:pBdr>
        <w:bottom w:val="none" w:sz="0" w:space="0" w:color="auto"/>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wNWExZjMzOWRlNjZmYzQwNGRhZGQyMGVlYzNlNzkifQ=="/>
  </w:docVars>
  <w:rsids>
    <w:rsidRoot w:val="00F51A3C"/>
    <w:rsid w:val="0000069E"/>
    <w:rsid w:val="000006E6"/>
    <w:rsid w:val="00002ABF"/>
    <w:rsid w:val="00004641"/>
    <w:rsid w:val="00005926"/>
    <w:rsid w:val="000109B9"/>
    <w:rsid w:val="00013297"/>
    <w:rsid w:val="00013D82"/>
    <w:rsid w:val="00013E87"/>
    <w:rsid w:val="0001621C"/>
    <w:rsid w:val="0001796B"/>
    <w:rsid w:val="0002273F"/>
    <w:rsid w:val="00023AAE"/>
    <w:rsid w:val="00027208"/>
    <w:rsid w:val="00030D30"/>
    <w:rsid w:val="000311E9"/>
    <w:rsid w:val="00033027"/>
    <w:rsid w:val="000348DB"/>
    <w:rsid w:val="00035D1E"/>
    <w:rsid w:val="0003610B"/>
    <w:rsid w:val="000363E4"/>
    <w:rsid w:val="000368CA"/>
    <w:rsid w:val="00037B32"/>
    <w:rsid w:val="00042C09"/>
    <w:rsid w:val="000446E7"/>
    <w:rsid w:val="00046A22"/>
    <w:rsid w:val="000500D2"/>
    <w:rsid w:val="000506B4"/>
    <w:rsid w:val="00050F3D"/>
    <w:rsid w:val="00051743"/>
    <w:rsid w:val="0005210E"/>
    <w:rsid w:val="00052846"/>
    <w:rsid w:val="000539C9"/>
    <w:rsid w:val="00055237"/>
    <w:rsid w:val="00057215"/>
    <w:rsid w:val="0005776A"/>
    <w:rsid w:val="00057BBA"/>
    <w:rsid w:val="00060C34"/>
    <w:rsid w:val="0006413F"/>
    <w:rsid w:val="0006567E"/>
    <w:rsid w:val="00074F5B"/>
    <w:rsid w:val="00075994"/>
    <w:rsid w:val="00081300"/>
    <w:rsid w:val="0008136E"/>
    <w:rsid w:val="00083160"/>
    <w:rsid w:val="00083E5A"/>
    <w:rsid w:val="0008420A"/>
    <w:rsid w:val="000864BB"/>
    <w:rsid w:val="00086B7A"/>
    <w:rsid w:val="0008745F"/>
    <w:rsid w:val="00087C60"/>
    <w:rsid w:val="000905C4"/>
    <w:rsid w:val="00091ECD"/>
    <w:rsid w:val="00092644"/>
    <w:rsid w:val="00096247"/>
    <w:rsid w:val="00097EA8"/>
    <w:rsid w:val="00097EE9"/>
    <w:rsid w:val="000A048A"/>
    <w:rsid w:val="000A0C3B"/>
    <w:rsid w:val="000A1618"/>
    <w:rsid w:val="000A163B"/>
    <w:rsid w:val="000A346C"/>
    <w:rsid w:val="000A39A2"/>
    <w:rsid w:val="000A3FC4"/>
    <w:rsid w:val="000B066F"/>
    <w:rsid w:val="000B0946"/>
    <w:rsid w:val="000B0B33"/>
    <w:rsid w:val="000B2DE9"/>
    <w:rsid w:val="000B3418"/>
    <w:rsid w:val="000B4FEB"/>
    <w:rsid w:val="000B54D7"/>
    <w:rsid w:val="000B72AA"/>
    <w:rsid w:val="000C1E26"/>
    <w:rsid w:val="000C39BE"/>
    <w:rsid w:val="000C48DE"/>
    <w:rsid w:val="000C49ED"/>
    <w:rsid w:val="000C4D66"/>
    <w:rsid w:val="000C541A"/>
    <w:rsid w:val="000C650A"/>
    <w:rsid w:val="000C774C"/>
    <w:rsid w:val="000D0A67"/>
    <w:rsid w:val="000D1383"/>
    <w:rsid w:val="000D1598"/>
    <w:rsid w:val="000D1E7D"/>
    <w:rsid w:val="000D1F3E"/>
    <w:rsid w:val="000D3087"/>
    <w:rsid w:val="000D3A4B"/>
    <w:rsid w:val="000D3BD8"/>
    <w:rsid w:val="000D3F7A"/>
    <w:rsid w:val="000D4B2D"/>
    <w:rsid w:val="000D5665"/>
    <w:rsid w:val="000D59FC"/>
    <w:rsid w:val="000D5B68"/>
    <w:rsid w:val="000D5B7D"/>
    <w:rsid w:val="000E3301"/>
    <w:rsid w:val="000E3626"/>
    <w:rsid w:val="000E50EF"/>
    <w:rsid w:val="000E595F"/>
    <w:rsid w:val="000F05F8"/>
    <w:rsid w:val="000F3503"/>
    <w:rsid w:val="000F45D5"/>
    <w:rsid w:val="000F4E6D"/>
    <w:rsid w:val="000F58A6"/>
    <w:rsid w:val="000F6865"/>
    <w:rsid w:val="000F6913"/>
    <w:rsid w:val="001010AC"/>
    <w:rsid w:val="00101BBC"/>
    <w:rsid w:val="00101C83"/>
    <w:rsid w:val="00101CDC"/>
    <w:rsid w:val="00102199"/>
    <w:rsid w:val="00103CA9"/>
    <w:rsid w:val="0010529D"/>
    <w:rsid w:val="00106808"/>
    <w:rsid w:val="00110128"/>
    <w:rsid w:val="00110C18"/>
    <w:rsid w:val="00111ED6"/>
    <w:rsid w:val="00114EBC"/>
    <w:rsid w:val="0012058F"/>
    <w:rsid w:val="00121FE5"/>
    <w:rsid w:val="00122B2A"/>
    <w:rsid w:val="001235FE"/>
    <w:rsid w:val="00124482"/>
    <w:rsid w:val="00126506"/>
    <w:rsid w:val="001279C6"/>
    <w:rsid w:val="001331EE"/>
    <w:rsid w:val="00135459"/>
    <w:rsid w:val="00135519"/>
    <w:rsid w:val="001361BC"/>
    <w:rsid w:val="00136D6D"/>
    <w:rsid w:val="00136FB8"/>
    <w:rsid w:val="00146F56"/>
    <w:rsid w:val="00146FA7"/>
    <w:rsid w:val="00150074"/>
    <w:rsid w:val="0015023E"/>
    <w:rsid w:val="001518DC"/>
    <w:rsid w:val="001524B5"/>
    <w:rsid w:val="00152659"/>
    <w:rsid w:val="0015388A"/>
    <w:rsid w:val="00155D03"/>
    <w:rsid w:val="00155F58"/>
    <w:rsid w:val="00156B60"/>
    <w:rsid w:val="00156F53"/>
    <w:rsid w:val="00160BD4"/>
    <w:rsid w:val="00161893"/>
    <w:rsid w:val="00165A66"/>
    <w:rsid w:val="0017437C"/>
    <w:rsid w:val="0017729B"/>
    <w:rsid w:val="00182A41"/>
    <w:rsid w:val="00183796"/>
    <w:rsid w:val="001857AA"/>
    <w:rsid w:val="00191159"/>
    <w:rsid w:val="0019209C"/>
    <w:rsid w:val="0019241A"/>
    <w:rsid w:val="001934E9"/>
    <w:rsid w:val="00194DA1"/>
    <w:rsid w:val="00196AD1"/>
    <w:rsid w:val="001A3ECA"/>
    <w:rsid w:val="001A553A"/>
    <w:rsid w:val="001A5C29"/>
    <w:rsid w:val="001A6498"/>
    <w:rsid w:val="001A6DD8"/>
    <w:rsid w:val="001A7309"/>
    <w:rsid w:val="001A75F2"/>
    <w:rsid w:val="001B0526"/>
    <w:rsid w:val="001B1E14"/>
    <w:rsid w:val="001B4F14"/>
    <w:rsid w:val="001B5C72"/>
    <w:rsid w:val="001B713D"/>
    <w:rsid w:val="001C516F"/>
    <w:rsid w:val="001C624E"/>
    <w:rsid w:val="001D01FD"/>
    <w:rsid w:val="001D2A59"/>
    <w:rsid w:val="001D37D8"/>
    <w:rsid w:val="001D5513"/>
    <w:rsid w:val="001E0C5F"/>
    <w:rsid w:val="001E1064"/>
    <w:rsid w:val="001E114C"/>
    <w:rsid w:val="001E155F"/>
    <w:rsid w:val="001E1FB0"/>
    <w:rsid w:val="001E2C09"/>
    <w:rsid w:val="001E40E9"/>
    <w:rsid w:val="001E4612"/>
    <w:rsid w:val="001E6417"/>
    <w:rsid w:val="001E6D48"/>
    <w:rsid w:val="001E7663"/>
    <w:rsid w:val="001F04F0"/>
    <w:rsid w:val="001F1C11"/>
    <w:rsid w:val="001F2DEC"/>
    <w:rsid w:val="001F32D7"/>
    <w:rsid w:val="001F4619"/>
    <w:rsid w:val="001F4E0F"/>
    <w:rsid w:val="001F5BA2"/>
    <w:rsid w:val="001F5DD6"/>
    <w:rsid w:val="001F6FEB"/>
    <w:rsid w:val="001F7D0F"/>
    <w:rsid w:val="00200A52"/>
    <w:rsid w:val="00200C1C"/>
    <w:rsid w:val="0020293A"/>
    <w:rsid w:val="00202C90"/>
    <w:rsid w:val="0020334E"/>
    <w:rsid w:val="00204135"/>
    <w:rsid w:val="002059BC"/>
    <w:rsid w:val="0020790A"/>
    <w:rsid w:val="00211151"/>
    <w:rsid w:val="002118DD"/>
    <w:rsid w:val="00213010"/>
    <w:rsid w:val="00214832"/>
    <w:rsid w:val="00215E2D"/>
    <w:rsid w:val="00215EC1"/>
    <w:rsid w:val="0022148E"/>
    <w:rsid w:val="00223630"/>
    <w:rsid w:val="00226003"/>
    <w:rsid w:val="00227433"/>
    <w:rsid w:val="00231D43"/>
    <w:rsid w:val="002340DE"/>
    <w:rsid w:val="00234179"/>
    <w:rsid w:val="00234516"/>
    <w:rsid w:val="00234AF4"/>
    <w:rsid w:val="00236FFA"/>
    <w:rsid w:val="00240581"/>
    <w:rsid w:val="0024095B"/>
    <w:rsid w:val="00244D4F"/>
    <w:rsid w:val="0024691B"/>
    <w:rsid w:val="00250B6D"/>
    <w:rsid w:val="0025110A"/>
    <w:rsid w:val="00251E2A"/>
    <w:rsid w:val="00252B20"/>
    <w:rsid w:val="002536FA"/>
    <w:rsid w:val="00253EB7"/>
    <w:rsid w:val="00254478"/>
    <w:rsid w:val="002553D0"/>
    <w:rsid w:val="0025710D"/>
    <w:rsid w:val="00260DF3"/>
    <w:rsid w:val="00262F4B"/>
    <w:rsid w:val="002638BA"/>
    <w:rsid w:val="002643BB"/>
    <w:rsid w:val="0026448D"/>
    <w:rsid w:val="0026714E"/>
    <w:rsid w:val="00267A16"/>
    <w:rsid w:val="0027034A"/>
    <w:rsid w:val="0027086E"/>
    <w:rsid w:val="00270A48"/>
    <w:rsid w:val="00273BCE"/>
    <w:rsid w:val="002740F5"/>
    <w:rsid w:val="0027605B"/>
    <w:rsid w:val="002832EB"/>
    <w:rsid w:val="00283617"/>
    <w:rsid w:val="0028393A"/>
    <w:rsid w:val="00284414"/>
    <w:rsid w:val="0028765B"/>
    <w:rsid w:val="00293C50"/>
    <w:rsid w:val="00293DF7"/>
    <w:rsid w:val="00295643"/>
    <w:rsid w:val="0029600E"/>
    <w:rsid w:val="002967F0"/>
    <w:rsid w:val="00296ED9"/>
    <w:rsid w:val="0029775A"/>
    <w:rsid w:val="002A0A03"/>
    <w:rsid w:val="002A3A2A"/>
    <w:rsid w:val="002A4670"/>
    <w:rsid w:val="002A5097"/>
    <w:rsid w:val="002A5CBC"/>
    <w:rsid w:val="002A7116"/>
    <w:rsid w:val="002B0416"/>
    <w:rsid w:val="002B14AB"/>
    <w:rsid w:val="002B341B"/>
    <w:rsid w:val="002B3595"/>
    <w:rsid w:val="002B3E24"/>
    <w:rsid w:val="002B425C"/>
    <w:rsid w:val="002B42F1"/>
    <w:rsid w:val="002B5391"/>
    <w:rsid w:val="002B6033"/>
    <w:rsid w:val="002B6E52"/>
    <w:rsid w:val="002B7555"/>
    <w:rsid w:val="002C152D"/>
    <w:rsid w:val="002C2552"/>
    <w:rsid w:val="002C7FFE"/>
    <w:rsid w:val="002D3568"/>
    <w:rsid w:val="002D64C4"/>
    <w:rsid w:val="002D68FB"/>
    <w:rsid w:val="002D69A3"/>
    <w:rsid w:val="002E1CB0"/>
    <w:rsid w:val="002E2350"/>
    <w:rsid w:val="002E2F5A"/>
    <w:rsid w:val="002E4B63"/>
    <w:rsid w:val="002E4E08"/>
    <w:rsid w:val="002E5D05"/>
    <w:rsid w:val="002F0E02"/>
    <w:rsid w:val="002F1A44"/>
    <w:rsid w:val="002F2053"/>
    <w:rsid w:val="002F2143"/>
    <w:rsid w:val="002F283B"/>
    <w:rsid w:val="002F2DB6"/>
    <w:rsid w:val="002F370F"/>
    <w:rsid w:val="002F38A6"/>
    <w:rsid w:val="002F3E0D"/>
    <w:rsid w:val="002F3F72"/>
    <w:rsid w:val="002F4333"/>
    <w:rsid w:val="002F6741"/>
    <w:rsid w:val="002F6808"/>
    <w:rsid w:val="002F68AB"/>
    <w:rsid w:val="002F73AA"/>
    <w:rsid w:val="002F773A"/>
    <w:rsid w:val="00301D48"/>
    <w:rsid w:val="003027F8"/>
    <w:rsid w:val="00304433"/>
    <w:rsid w:val="003053C9"/>
    <w:rsid w:val="0031520F"/>
    <w:rsid w:val="00321512"/>
    <w:rsid w:val="003239B1"/>
    <w:rsid w:val="0032567E"/>
    <w:rsid w:val="00326DAA"/>
    <w:rsid w:val="00327EAD"/>
    <w:rsid w:val="00332ADA"/>
    <w:rsid w:val="003358D7"/>
    <w:rsid w:val="00340162"/>
    <w:rsid w:val="00340886"/>
    <w:rsid w:val="00340B61"/>
    <w:rsid w:val="003412D2"/>
    <w:rsid w:val="00342B6B"/>
    <w:rsid w:val="00342C7F"/>
    <w:rsid w:val="003436A5"/>
    <w:rsid w:val="00346F9B"/>
    <w:rsid w:val="00347128"/>
    <w:rsid w:val="00347A94"/>
    <w:rsid w:val="00354AD9"/>
    <w:rsid w:val="00355715"/>
    <w:rsid w:val="0035748F"/>
    <w:rsid w:val="00360EE9"/>
    <w:rsid w:val="00361AD0"/>
    <w:rsid w:val="00361C51"/>
    <w:rsid w:val="00364573"/>
    <w:rsid w:val="00365145"/>
    <w:rsid w:val="003663C6"/>
    <w:rsid w:val="003669E3"/>
    <w:rsid w:val="00371DD4"/>
    <w:rsid w:val="00371F7B"/>
    <w:rsid w:val="00372595"/>
    <w:rsid w:val="00372D03"/>
    <w:rsid w:val="003754FF"/>
    <w:rsid w:val="00375E12"/>
    <w:rsid w:val="00375ED6"/>
    <w:rsid w:val="003772ED"/>
    <w:rsid w:val="00385292"/>
    <w:rsid w:val="003856D2"/>
    <w:rsid w:val="00385E59"/>
    <w:rsid w:val="00386258"/>
    <w:rsid w:val="003906A2"/>
    <w:rsid w:val="00390C15"/>
    <w:rsid w:val="00392AB4"/>
    <w:rsid w:val="0039373C"/>
    <w:rsid w:val="00394249"/>
    <w:rsid w:val="003964CA"/>
    <w:rsid w:val="003A0F20"/>
    <w:rsid w:val="003A1246"/>
    <w:rsid w:val="003A19A3"/>
    <w:rsid w:val="003A21ED"/>
    <w:rsid w:val="003A528C"/>
    <w:rsid w:val="003A699E"/>
    <w:rsid w:val="003B1CE2"/>
    <w:rsid w:val="003B2802"/>
    <w:rsid w:val="003B52D8"/>
    <w:rsid w:val="003B6E0A"/>
    <w:rsid w:val="003B72DD"/>
    <w:rsid w:val="003C0736"/>
    <w:rsid w:val="003C0796"/>
    <w:rsid w:val="003C2CA3"/>
    <w:rsid w:val="003C34F0"/>
    <w:rsid w:val="003C37F0"/>
    <w:rsid w:val="003C6486"/>
    <w:rsid w:val="003C6827"/>
    <w:rsid w:val="003D20C6"/>
    <w:rsid w:val="003D2C48"/>
    <w:rsid w:val="003D53B4"/>
    <w:rsid w:val="003D6B24"/>
    <w:rsid w:val="003D70AF"/>
    <w:rsid w:val="003E31BE"/>
    <w:rsid w:val="003E349C"/>
    <w:rsid w:val="003E46CC"/>
    <w:rsid w:val="003F0520"/>
    <w:rsid w:val="003F12FC"/>
    <w:rsid w:val="003F386D"/>
    <w:rsid w:val="003F5A20"/>
    <w:rsid w:val="003F700D"/>
    <w:rsid w:val="00401782"/>
    <w:rsid w:val="00402667"/>
    <w:rsid w:val="00402BFA"/>
    <w:rsid w:val="004068FC"/>
    <w:rsid w:val="00407151"/>
    <w:rsid w:val="004071ED"/>
    <w:rsid w:val="00407330"/>
    <w:rsid w:val="004076E0"/>
    <w:rsid w:val="00407D7F"/>
    <w:rsid w:val="00407F3B"/>
    <w:rsid w:val="0041053F"/>
    <w:rsid w:val="00412301"/>
    <w:rsid w:val="00412AE6"/>
    <w:rsid w:val="00412B7A"/>
    <w:rsid w:val="00413265"/>
    <w:rsid w:val="00414A61"/>
    <w:rsid w:val="00416D64"/>
    <w:rsid w:val="00417AAF"/>
    <w:rsid w:val="004213B5"/>
    <w:rsid w:val="004235CC"/>
    <w:rsid w:val="004242DB"/>
    <w:rsid w:val="0042455D"/>
    <w:rsid w:val="00424D1E"/>
    <w:rsid w:val="004256AB"/>
    <w:rsid w:val="004273F2"/>
    <w:rsid w:val="00430F55"/>
    <w:rsid w:val="004329FB"/>
    <w:rsid w:val="00434694"/>
    <w:rsid w:val="0043766E"/>
    <w:rsid w:val="004377CC"/>
    <w:rsid w:val="004405BD"/>
    <w:rsid w:val="00441210"/>
    <w:rsid w:val="0044244E"/>
    <w:rsid w:val="00443665"/>
    <w:rsid w:val="004442DB"/>
    <w:rsid w:val="00446C12"/>
    <w:rsid w:val="004474E9"/>
    <w:rsid w:val="00447E0E"/>
    <w:rsid w:val="00447F96"/>
    <w:rsid w:val="00450E12"/>
    <w:rsid w:val="00450F92"/>
    <w:rsid w:val="0045159E"/>
    <w:rsid w:val="00453328"/>
    <w:rsid w:val="0045475A"/>
    <w:rsid w:val="00456922"/>
    <w:rsid w:val="00457BFD"/>
    <w:rsid w:val="00461071"/>
    <w:rsid w:val="00462DD0"/>
    <w:rsid w:val="0046397A"/>
    <w:rsid w:val="00464072"/>
    <w:rsid w:val="00464946"/>
    <w:rsid w:val="00464E60"/>
    <w:rsid w:val="00465DFD"/>
    <w:rsid w:val="00466C2A"/>
    <w:rsid w:val="00466C87"/>
    <w:rsid w:val="0046701E"/>
    <w:rsid w:val="004702CC"/>
    <w:rsid w:val="00471EEB"/>
    <w:rsid w:val="00475F35"/>
    <w:rsid w:val="00475F6D"/>
    <w:rsid w:val="00476868"/>
    <w:rsid w:val="00481A88"/>
    <w:rsid w:val="00483ED8"/>
    <w:rsid w:val="00490103"/>
    <w:rsid w:val="004919D7"/>
    <w:rsid w:val="00491D9C"/>
    <w:rsid w:val="00492020"/>
    <w:rsid w:val="00492862"/>
    <w:rsid w:val="00492901"/>
    <w:rsid w:val="00493A48"/>
    <w:rsid w:val="00496608"/>
    <w:rsid w:val="00496C16"/>
    <w:rsid w:val="00497546"/>
    <w:rsid w:val="00497BEC"/>
    <w:rsid w:val="004A072A"/>
    <w:rsid w:val="004A0D35"/>
    <w:rsid w:val="004A1BFA"/>
    <w:rsid w:val="004A3B25"/>
    <w:rsid w:val="004A67B4"/>
    <w:rsid w:val="004B1115"/>
    <w:rsid w:val="004B15E8"/>
    <w:rsid w:val="004B30AD"/>
    <w:rsid w:val="004B63FC"/>
    <w:rsid w:val="004C5B1F"/>
    <w:rsid w:val="004C7286"/>
    <w:rsid w:val="004C76A7"/>
    <w:rsid w:val="004C7BB3"/>
    <w:rsid w:val="004D1956"/>
    <w:rsid w:val="004D21DC"/>
    <w:rsid w:val="004D3421"/>
    <w:rsid w:val="004D37D9"/>
    <w:rsid w:val="004D6DD1"/>
    <w:rsid w:val="004D7763"/>
    <w:rsid w:val="004D7C34"/>
    <w:rsid w:val="004E07BB"/>
    <w:rsid w:val="004E2671"/>
    <w:rsid w:val="004E34BC"/>
    <w:rsid w:val="004F254E"/>
    <w:rsid w:val="004F35C9"/>
    <w:rsid w:val="004F4CD0"/>
    <w:rsid w:val="004F4F45"/>
    <w:rsid w:val="004F53E4"/>
    <w:rsid w:val="00500419"/>
    <w:rsid w:val="00500FFC"/>
    <w:rsid w:val="00501C16"/>
    <w:rsid w:val="00503A69"/>
    <w:rsid w:val="00505861"/>
    <w:rsid w:val="0050618D"/>
    <w:rsid w:val="00506B44"/>
    <w:rsid w:val="00506D3E"/>
    <w:rsid w:val="00510592"/>
    <w:rsid w:val="005108A6"/>
    <w:rsid w:val="00511542"/>
    <w:rsid w:val="00511B2F"/>
    <w:rsid w:val="00511E43"/>
    <w:rsid w:val="00512D8E"/>
    <w:rsid w:val="00514A4C"/>
    <w:rsid w:val="00514E85"/>
    <w:rsid w:val="00517968"/>
    <w:rsid w:val="00521584"/>
    <w:rsid w:val="005229C5"/>
    <w:rsid w:val="0052319D"/>
    <w:rsid w:val="0052348E"/>
    <w:rsid w:val="00523829"/>
    <w:rsid w:val="0052509E"/>
    <w:rsid w:val="00526978"/>
    <w:rsid w:val="00526E71"/>
    <w:rsid w:val="00527E15"/>
    <w:rsid w:val="0053037A"/>
    <w:rsid w:val="00530CBA"/>
    <w:rsid w:val="00532701"/>
    <w:rsid w:val="00532E96"/>
    <w:rsid w:val="00532EF3"/>
    <w:rsid w:val="00533202"/>
    <w:rsid w:val="00534341"/>
    <w:rsid w:val="00534BEE"/>
    <w:rsid w:val="005357C1"/>
    <w:rsid w:val="005358AA"/>
    <w:rsid w:val="00536963"/>
    <w:rsid w:val="00537497"/>
    <w:rsid w:val="00540767"/>
    <w:rsid w:val="00542621"/>
    <w:rsid w:val="00542694"/>
    <w:rsid w:val="0054394A"/>
    <w:rsid w:val="00543BC7"/>
    <w:rsid w:val="00545012"/>
    <w:rsid w:val="00551C4B"/>
    <w:rsid w:val="005542E7"/>
    <w:rsid w:val="005550E5"/>
    <w:rsid w:val="00555B48"/>
    <w:rsid w:val="00556059"/>
    <w:rsid w:val="005571F3"/>
    <w:rsid w:val="00560C10"/>
    <w:rsid w:val="0056241E"/>
    <w:rsid w:val="00562CF3"/>
    <w:rsid w:val="00562D76"/>
    <w:rsid w:val="00562FDB"/>
    <w:rsid w:val="0056346E"/>
    <w:rsid w:val="00566933"/>
    <w:rsid w:val="00572509"/>
    <w:rsid w:val="00572729"/>
    <w:rsid w:val="005733AB"/>
    <w:rsid w:val="005738EA"/>
    <w:rsid w:val="005750E7"/>
    <w:rsid w:val="00575EA4"/>
    <w:rsid w:val="00577277"/>
    <w:rsid w:val="00577625"/>
    <w:rsid w:val="00577CB9"/>
    <w:rsid w:val="00584720"/>
    <w:rsid w:val="00584A48"/>
    <w:rsid w:val="005869A2"/>
    <w:rsid w:val="0058712B"/>
    <w:rsid w:val="005903A0"/>
    <w:rsid w:val="0059086B"/>
    <w:rsid w:val="005909F8"/>
    <w:rsid w:val="00591CEE"/>
    <w:rsid w:val="00594F48"/>
    <w:rsid w:val="00595062"/>
    <w:rsid w:val="00596541"/>
    <w:rsid w:val="005A394D"/>
    <w:rsid w:val="005A4F56"/>
    <w:rsid w:val="005A7095"/>
    <w:rsid w:val="005A7558"/>
    <w:rsid w:val="005A7CA2"/>
    <w:rsid w:val="005B0C8D"/>
    <w:rsid w:val="005B3568"/>
    <w:rsid w:val="005B6630"/>
    <w:rsid w:val="005B7022"/>
    <w:rsid w:val="005B7217"/>
    <w:rsid w:val="005B75FA"/>
    <w:rsid w:val="005C065F"/>
    <w:rsid w:val="005C0805"/>
    <w:rsid w:val="005C0DAD"/>
    <w:rsid w:val="005C0FED"/>
    <w:rsid w:val="005C3D23"/>
    <w:rsid w:val="005C4481"/>
    <w:rsid w:val="005C532E"/>
    <w:rsid w:val="005C7AB4"/>
    <w:rsid w:val="005C7D20"/>
    <w:rsid w:val="005D1B38"/>
    <w:rsid w:val="005D3031"/>
    <w:rsid w:val="005D30F8"/>
    <w:rsid w:val="005D3B4D"/>
    <w:rsid w:val="005D45E8"/>
    <w:rsid w:val="005D6018"/>
    <w:rsid w:val="005D6AF8"/>
    <w:rsid w:val="005E05F5"/>
    <w:rsid w:val="005E13DE"/>
    <w:rsid w:val="005E1594"/>
    <w:rsid w:val="005E2E27"/>
    <w:rsid w:val="005E37ED"/>
    <w:rsid w:val="005E388B"/>
    <w:rsid w:val="005E4BD6"/>
    <w:rsid w:val="005E5026"/>
    <w:rsid w:val="005E61A2"/>
    <w:rsid w:val="005E6F24"/>
    <w:rsid w:val="005E7697"/>
    <w:rsid w:val="005F17F4"/>
    <w:rsid w:val="005F37D9"/>
    <w:rsid w:val="00606F31"/>
    <w:rsid w:val="0060702F"/>
    <w:rsid w:val="006070C2"/>
    <w:rsid w:val="0061115E"/>
    <w:rsid w:val="00613C6B"/>
    <w:rsid w:val="0061654F"/>
    <w:rsid w:val="006205E4"/>
    <w:rsid w:val="00622F24"/>
    <w:rsid w:val="006233ED"/>
    <w:rsid w:val="00624876"/>
    <w:rsid w:val="00625BAD"/>
    <w:rsid w:val="00632703"/>
    <w:rsid w:val="00634B59"/>
    <w:rsid w:val="006365C4"/>
    <w:rsid w:val="006366EC"/>
    <w:rsid w:val="00636944"/>
    <w:rsid w:val="0064197E"/>
    <w:rsid w:val="006419C5"/>
    <w:rsid w:val="006424BF"/>
    <w:rsid w:val="006441E8"/>
    <w:rsid w:val="00644418"/>
    <w:rsid w:val="006444AC"/>
    <w:rsid w:val="00650CB1"/>
    <w:rsid w:val="00652786"/>
    <w:rsid w:val="00653A25"/>
    <w:rsid w:val="00657E6C"/>
    <w:rsid w:val="006606F5"/>
    <w:rsid w:val="006606FF"/>
    <w:rsid w:val="00660FC6"/>
    <w:rsid w:val="0066190B"/>
    <w:rsid w:val="00664A68"/>
    <w:rsid w:val="0066593C"/>
    <w:rsid w:val="006663AA"/>
    <w:rsid w:val="00667F59"/>
    <w:rsid w:val="00667F75"/>
    <w:rsid w:val="00672442"/>
    <w:rsid w:val="006737BB"/>
    <w:rsid w:val="00674B8E"/>
    <w:rsid w:val="0067596C"/>
    <w:rsid w:val="00676694"/>
    <w:rsid w:val="00676BC7"/>
    <w:rsid w:val="00676BE8"/>
    <w:rsid w:val="00677C1B"/>
    <w:rsid w:val="00682617"/>
    <w:rsid w:val="0068272A"/>
    <w:rsid w:val="00683590"/>
    <w:rsid w:val="006835A2"/>
    <w:rsid w:val="00683852"/>
    <w:rsid w:val="00685450"/>
    <w:rsid w:val="006854AB"/>
    <w:rsid w:val="00685FAE"/>
    <w:rsid w:val="00687694"/>
    <w:rsid w:val="00691664"/>
    <w:rsid w:val="006920D2"/>
    <w:rsid w:val="006944A6"/>
    <w:rsid w:val="00696999"/>
    <w:rsid w:val="00697AD2"/>
    <w:rsid w:val="006A0891"/>
    <w:rsid w:val="006A24E3"/>
    <w:rsid w:val="006A3633"/>
    <w:rsid w:val="006A5416"/>
    <w:rsid w:val="006A60B1"/>
    <w:rsid w:val="006B09E1"/>
    <w:rsid w:val="006B33FE"/>
    <w:rsid w:val="006B798F"/>
    <w:rsid w:val="006C0381"/>
    <w:rsid w:val="006C1DBB"/>
    <w:rsid w:val="006C2B65"/>
    <w:rsid w:val="006C3391"/>
    <w:rsid w:val="006C6E79"/>
    <w:rsid w:val="006C7AEA"/>
    <w:rsid w:val="006D0D4F"/>
    <w:rsid w:val="006D112C"/>
    <w:rsid w:val="006D11D9"/>
    <w:rsid w:val="006E06D7"/>
    <w:rsid w:val="006E1433"/>
    <w:rsid w:val="006E2428"/>
    <w:rsid w:val="006E399D"/>
    <w:rsid w:val="006E5A67"/>
    <w:rsid w:val="006E5B81"/>
    <w:rsid w:val="006F325B"/>
    <w:rsid w:val="0070167B"/>
    <w:rsid w:val="00701F1C"/>
    <w:rsid w:val="0070261A"/>
    <w:rsid w:val="007057FD"/>
    <w:rsid w:val="0070626C"/>
    <w:rsid w:val="0071063C"/>
    <w:rsid w:val="007117BA"/>
    <w:rsid w:val="00714965"/>
    <w:rsid w:val="00716D69"/>
    <w:rsid w:val="00717A68"/>
    <w:rsid w:val="007208B4"/>
    <w:rsid w:val="00723DBA"/>
    <w:rsid w:val="00726474"/>
    <w:rsid w:val="0072719A"/>
    <w:rsid w:val="00727928"/>
    <w:rsid w:val="00730681"/>
    <w:rsid w:val="007325A9"/>
    <w:rsid w:val="007332BD"/>
    <w:rsid w:val="00733742"/>
    <w:rsid w:val="00741FD8"/>
    <w:rsid w:val="00743389"/>
    <w:rsid w:val="0074381F"/>
    <w:rsid w:val="0074409A"/>
    <w:rsid w:val="00744453"/>
    <w:rsid w:val="00745253"/>
    <w:rsid w:val="00745F6C"/>
    <w:rsid w:val="00747064"/>
    <w:rsid w:val="00747629"/>
    <w:rsid w:val="00751DB0"/>
    <w:rsid w:val="007522A9"/>
    <w:rsid w:val="0075400D"/>
    <w:rsid w:val="007549A5"/>
    <w:rsid w:val="00755A0B"/>
    <w:rsid w:val="00755C8B"/>
    <w:rsid w:val="00755E7C"/>
    <w:rsid w:val="00756BAA"/>
    <w:rsid w:val="00757429"/>
    <w:rsid w:val="0076111F"/>
    <w:rsid w:val="007628DB"/>
    <w:rsid w:val="00762DC7"/>
    <w:rsid w:val="00764402"/>
    <w:rsid w:val="007668AE"/>
    <w:rsid w:val="00767146"/>
    <w:rsid w:val="00767153"/>
    <w:rsid w:val="00767D2D"/>
    <w:rsid w:val="0077324B"/>
    <w:rsid w:val="00776B27"/>
    <w:rsid w:val="007771A5"/>
    <w:rsid w:val="00783072"/>
    <w:rsid w:val="007831E1"/>
    <w:rsid w:val="00785780"/>
    <w:rsid w:val="00785F48"/>
    <w:rsid w:val="0079006F"/>
    <w:rsid w:val="007909A1"/>
    <w:rsid w:val="0079282F"/>
    <w:rsid w:val="00792D73"/>
    <w:rsid w:val="00793F03"/>
    <w:rsid w:val="007949D7"/>
    <w:rsid w:val="00794D17"/>
    <w:rsid w:val="00794EC1"/>
    <w:rsid w:val="0079569C"/>
    <w:rsid w:val="0079648B"/>
    <w:rsid w:val="00796726"/>
    <w:rsid w:val="007A13F6"/>
    <w:rsid w:val="007A31B6"/>
    <w:rsid w:val="007A6056"/>
    <w:rsid w:val="007A6074"/>
    <w:rsid w:val="007A7316"/>
    <w:rsid w:val="007A7EF1"/>
    <w:rsid w:val="007B05EB"/>
    <w:rsid w:val="007B1AFD"/>
    <w:rsid w:val="007B210E"/>
    <w:rsid w:val="007B36E5"/>
    <w:rsid w:val="007B383A"/>
    <w:rsid w:val="007B4DD2"/>
    <w:rsid w:val="007B60F5"/>
    <w:rsid w:val="007B67B6"/>
    <w:rsid w:val="007B6F73"/>
    <w:rsid w:val="007C02DA"/>
    <w:rsid w:val="007C0C80"/>
    <w:rsid w:val="007C2627"/>
    <w:rsid w:val="007C3192"/>
    <w:rsid w:val="007C3CB1"/>
    <w:rsid w:val="007C49AC"/>
    <w:rsid w:val="007C6495"/>
    <w:rsid w:val="007C798E"/>
    <w:rsid w:val="007D5F2C"/>
    <w:rsid w:val="007E074C"/>
    <w:rsid w:val="007E25B6"/>
    <w:rsid w:val="007E29D2"/>
    <w:rsid w:val="007E4525"/>
    <w:rsid w:val="007E5ACE"/>
    <w:rsid w:val="007E69B4"/>
    <w:rsid w:val="007F034A"/>
    <w:rsid w:val="007F116D"/>
    <w:rsid w:val="007F2187"/>
    <w:rsid w:val="007F44E8"/>
    <w:rsid w:val="007F4DAA"/>
    <w:rsid w:val="007F7BA8"/>
    <w:rsid w:val="008027C3"/>
    <w:rsid w:val="00804056"/>
    <w:rsid w:val="00805195"/>
    <w:rsid w:val="0080653B"/>
    <w:rsid w:val="00811EEE"/>
    <w:rsid w:val="008125D3"/>
    <w:rsid w:val="00814B97"/>
    <w:rsid w:val="00814BA2"/>
    <w:rsid w:val="00815A7E"/>
    <w:rsid w:val="0081642D"/>
    <w:rsid w:val="00816E9E"/>
    <w:rsid w:val="00816F5F"/>
    <w:rsid w:val="00820495"/>
    <w:rsid w:val="00821174"/>
    <w:rsid w:val="008243C0"/>
    <w:rsid w:val="00824911"/>
    <w:rsid w:val="00827148"/>
    <w:rsid w:val="00827391"/>
    <w:rsid w:val="008273A1"/>
    <w:rsid w:val="0082787F"/>
    <w:rsid w:val="00830750"/>
    <w:rsid w:val="00830A23"/>
    <w:rsid w:val="00830A83"/>
    <w:rsid w:val="00833A78"/>
    <w:rsid w:val="00834810"/>
    <w:rsid w:val="008349D8"/>
    <w:rsid w:val="0084061B"/>
    <w:rsid w:val="0084315D"/>
    <w:rsid w:val="008435FB"/>
    <w:rsid w:val="008439B5"/>
    <w:rsid w:val="0084421F"/>
    <w:rsid w:val="00845AF9"/>
    <w:rsid w:val="00846CD0"/>
    <w:rsid w:val="00847E2E"/>
    <w:rsid w:val="00851A63"/>
    <w:rsid w:val="00852324"/>
    <w:rsid w:val="00852D37"/>
    <w:rsid w:val="00852F44"/>
    <w:rsid w:val="00853BDC"/>
    <w:rsid w:val="008559A4"/>
    <w:rsid w:val="00855AAB"/>
    <w:rsid w:val="00855ACD"/>
    <w:rsid w:val="00860780"/>
    <w:rsid w:val="00861A99"/>
    <w:rsid w:val="00864E2D"/>
    <w:rsid w:val="00866EC3"/>
    <w:rsid w:val="008671C8"/>
    <w:rsid w:val="00867D3A"/>
    <w:rsid w:val="00872F4D"/>
    <w:rsid w:val="008746AA"/>
    <w:rsid w:val="008748FC"/>
    <w:rsid w:val="00876617"/>
    <w:rsid w:val="00876D70"/>
    <w:rsid w:val="00884087"/>
    <w:rsid w:val="008870AC"/>
    <w:rsid w:val="0089020A"/>
    <w:rsid w:val="00890D3F"/>
    <w:rsid w:val="00893A2B"/>
    <w:rsid w:val="00894BCC"/>
    <w:rsid w:val="0089756E"/>
    <w:rsid w:val="00897B1A"/>
    <w:rsid w:val="008A0494"/>
    <w:rsid w:val="008A26BA"/>
    <w:rsid w:val="008A28B7"/>
    <w:rsid w:val="008A666D"/>
    <w:rsid w:val="008A7344"/>
    <w:rsid w:val="008B0326"/>
    <w:rsid w:val="008B05A4"/>
    <w:rsid w:val="008B1361"/>
    <w:rsid w:val="008B25A4"/>
    <w:rsid w:val="008B2C40"/>
    <w:rsid w:val="008B2F17"/>
    <w:rsid w:val="008B515C"/>
    <w:rsid w:val="008B5A78"/>
    <w:rsid w:val="008B6EC9"/>
    <w:rsid w:val="008C084C"/>
    <w:rsid w:val="008C27BE"/>
    <w:rsid w:val="008C4520"/>
    <w:rsid w:val="008C5853"/>
    <w:rsid w:val="008C676A"/>
    <w:rsid w:val="008C7FBD"/>
    <w:rsid w:val="008D0B50"/>
    <w:rsid w:val="008D1801"/>
    <w:rsid w:val="008D1DA4"/>
    <w:rsid w:val="008D26AB"/>
    <w:rsid w:val="008D2A99"/>
    <w:rsid w:val="008D646E"/>
    <w:rsid w:val="008D7780"/>
    <w:rsid w:val="008E0C13"/>
    <w:rsid w:val="008E178C"/>
    <w:rsid w:val="008E200D"/>
    <w:rsid w:val="008E361C"/>
    <w:rsid w:val="008E53DD"/>
    <w:rsid w:val="008E6292"/>
    <w:rsid w:val="008E7EBF"/>
    <w:rsid w:val="008F06C8"/>
    <w:rsid w:val="008F1FBD"/>
    <w:rsid w:val="008F33C3"/>
    <w:rsid w:val="008F3661"/>
    <w:rsid w:val="008F7FA9"/>
    <w:rsid w:val="0090075C"/>
    <w:rsid w:val="00903295"/>
    <w:rsid w:val="00905B86"/>
    <w:rsid w:val="00910429"/>
    <w:rsid w:val="0091138F"/>
    <w:rsid w:val="0091176B"/>
    <w:rsid w:val="00915031"/>
    <w:rsid w:val="0091728B"/>
    <w:rsid w:val="00920670"/>
    <w:rsid w:val="00922183"/>
    <w:rsid w:val="00925841"/>
    <w:rsid w:val="00927DD4"/>
    <w:rsid w:val="00927F63"/>
    <w:rsid w:val="00932E43"/>
    <w:rsid w:val="00933D6B"/>
    <w:rsid w:val="00935987"/>
    <w:rsid w:val="0093662C"/>
    <w:rsid w:val="00936B41"/>
    <w:rsid w:val="00937362"/>
    <w:rsid w:val="00941463"/>
    <w:rsid w:val="0094194A"/>
    <w:rsid w:val="0094375D"/>
    <w:rsid w:val="00943984"/>
    <w:rsid w:val="00944D76"/>
    <w:rsid w:val="00944DB0"/>
    <w:rsid w:val="00947C90"/>
    <w:rsid w:val="00947D9E"/>
    <w:rsid w:val="00951F80"/>
    <w:rsid w:val="0095218D"/>
    <w:rsid w:val="00952D71"/>
    <w:rsid w:val="0095352F"/>
    <w:rsid w:val="00953B9D"/>
    <w:rsid w:val="00953E6B"/>
    <w:rsid w:val="00953F18"/>
    <w:rsid w:val="0096099A"/>
    <w:rsid w:val="009621CC"/>
    <w:rsid w:val="00965278"/>
    <w:rsid w:val="00970386"/>
    <w:rsid w:val="0097060C"/>
    <w:rsid w:val="00975C70"/>
    <w:rsid w:val="00975DF1"/>
    <w:rsid w:val="0097783A"/>
    <w:rsid w:val="00977C86"/>
    <w:rsid w:val="009808CF"/>
    <w:rsid w:val="00981ED0"/>
    <w:rsid w:val="00981EF7"/>
    <w:rsid w:val="00981F4D"/>
    <w:rsid w:val="009823C4"/>
    <w:rsid w:val="009833B8"/>
    <w:rsid w:val="009871B3"/>
    <w:rsid w:val="00991819"/>
    <w:rsid w:val="00994433"/>
    <w:rsid w:val="0099696B"/>
    <w:rsid w:val="00997E6B"/>
    <w:rsid w:val="009A0EDC"/>
    <w:rsid w:val="009A1767"/>
    <w:rsid w:val="009A25F6"/>
    <w:rsid w:val="009A2732"/>
    <w:rsid w:val="009A3680"/>
    <w:rsid w:val="009A36AC"/>
    <w:rsid w:val="009B0974"/>
    <w:rsid w:val="009B0A6A"/>
    <w:rsid w:val="009B35FC"/>
    <w:rsid w:val="009B42FB"/>
    <w:rsid w:val="009B55CF"/>
    <w:rsid w:val="009B7A05"/>
    <w:rsid w:val="009C2A00"/>
    <w:rsid w:val="009C3A3F"/>
    <w:rsid w:val="009C509F"/>
    <w:rsid w:val="009C56A6"/>
    <w:rsid w:val="009C5903"/>
    <w:rsid w:val="009C60B2"/>
    <w:rsid w:val="009C61A9"/>
    <w:rsid w:val="009C6DA0"/>
    <w:rsid w:val="009C7EAE"/>
    <w:rsid w:val="009D0827"/>
    <w:rsid w:val="009D1DD4"/>
    <w:rsid w:val="009D2974"/>
    <w:rsid w:val="009D3539"/>
    <w:rsid w:val="009D3B06"/>
    <w:rsid w:val="009D465C"/>
    <w:rsid w:val="009D4E8D"/>
    <w:rsid w:val="009D5AC2"/>
    <w:rsid w:val="009D6AFF"/>
    <w:rsid w:val="009E09EA"/>
    <w:rsid w:val="009E1390"/>
    <w:rsid w:val="009E1684"/>
    <w:rsid w:val="009E233D"/>
    <w:rsid w:val="009E2644"/>
    <w:rsid w:val="009E2AE9"/>
    <w:rsid w:val="009E308B"/>
    <w:rsid w:val="009E3967"/>
    <w:rsid w:val="009E608E"/>
    <w:rsid w:val="009E7F93"/>
    <w:rsid w:val="009F00C9"/>
    <w:rsid w:val="00A030A4"/>
    <w:rsid w:val="00A03E87"/>
    <w:rsid w:val="00A0411B"/>
    <w:rsid w:val="00A05ACB"/>
    <w:rsid w:val="00A0624B"/>
    <w:rsid w:val="00A069A7"/>
    <w:rsid w:val="00A07953"/>
    <w:rsid w:val="00A10C74"/>
    <w:rsid w:val="00A11041"/>
    <w:rsid w:val="00A1324D"/>
    <w:rsid w:val="00A13508"/>
    <w:rsid w:val="00A17437"/>
    <w:rsid w:val="00A22EEE"/>
    <w:rsid w:val="00A232BC"/>
    <w:rsid w:val="00A25AD6"/>
    <w:rsid w:val="00A2691F"/>
    <w:rsid w:val="00A27167"/>
    <w:rsid w:val="00A27AE1"/>
    <w:rsid w:val="00A306F5"/>
    <w:rsid w:val="00A31C01"/>
    <w:rsid w:val="00A3233A"/>
    <w:rsid w:val="00A32BAF"/>
    <w:rsid w:val="00A344F1"/>
    <w:rsid w:val="00A37AA4"/>
    <w:rsid w:val="00A40D2A"/>
    <w:rsid w:val="00A42A39"/>
    <w:rsid w:val="00A42B99"/>
    <w:rsid w:val="00A43E15"/>
    <w:rsid w:val="00A44140"/>
    <w:rsid w:val="00A457A8"/>
    <w:rsid w:val="00A47399"/>
    <w:rsid w:val="00A50EBD"/>
    <w:rsid w:val="00A51813"/>
    <w:rsid w:val="00A51C14"/>
    <w:rsid w:val="00A524BA"/>
    <w:rsid w:val="00A52959"/>
    <w:rsid w:val="00A5379E"/>
    <w:rsid w:val="00A542E1"/>
    <w:rsid w:val="00A56351"/>
    <w:rsid w:val="00A57316"/>
    <w:rsid w:val="00A57667"/>
    <w:rsid w:val="00A60048"/>
    <w:rsid w:val="00A60E0C"/>
    <w:rsid w:val="00A61718"/>
    <w:rsid w:val="00A620FE"/>
    <w:rsid w:val="00A6438A"/>
    <w:rsid w:val="00A67C37"/>
    <w:rsid w:val="00A7017A"/>
    <w:rsid w:val="00A70578"/>
    <w:rsid w:val="00A7096A"/>
    <w:rsid w:val="00A70B77"/>
    <w:rsid w:val="00A72E1B"/>
    <w:rsid w:val="00A73A01"/>
    <w:rsid w:val="00A73C0F"/>
    <w:rsid w:val="00A747D2"/>
    <w:rsid w:val="00A75578"/>
    <w:rsid w:val="00A76F9E"/>
    <w:rsid w:val="00A7754C"/>
    <w:rsid w:val="00A80633"/>
    <w:rsid w:val="00A811A8"/>
    <w:rsid w:val="00A8184E"/>
    <w:rsid w:val="00A82AC3"/>
    <w:rsid w:val="00A83788"/>
    <w:rsid w:val="00A9403E"/>
    <w:rsid w:val="00A941A7"/>
    <w:rsid w:val="00A95DE5"/>
    <w:rsid w:val="00A96E6F"/>
    <w:rsid w:val="00AA13C0"/>
    <w:rsid w:val="00AA6033"/>
    <w:rsid w:val="00AA6BB5"/>
    <w:rsid w:val="00AB09DC"/>
    <w:rsid w:val="00AB3E4D"/>
    <w:rsid w:val="00AB43C1"/>
    <w:rsid w:val="00AB73F8"/>
    <w:rsid w:val="00AC1050"/>
    <w:rsid w:val="00AC1DF4"/>
    <w:rsid w:val="00AC2B50"/>
    <w:rsid w:val="00AC39EC"/>
    <w:rsid w:val="00AC4C55"/>
    <w:rsid w:val="00AC4DC6"/>
    <w:rsid w:val="00AC50E0"/>
    <w:rsid w:val="00AC522B"/>
    <w:rsid w:val="00AC5F73"/>
    <w:rsid w:val="00AC6F18"/>
    <w:rsid w:val="00AC7579"/>
    <w:rsid w:val="00AC771E"/>
    <w:rsid w:val="00AD0B03"/>
    <w:rsid w:val="00AD2052"/>
    <w:rsid w:val="00AD29EB"/>
    <w:rsid w:val="00AD418E"/>
    <w:rsid w:val="00AD5CBA"/>
    <w:rsid w:val="00AD77CD"/>
    <w:rsid w:val="00AD7C81"/>
    <w:rsid w:val="00AE062D"/>
    <w:rsid w:val="00AE09C7"/>
    <w:rsid w:val="00AE0B16"/>
    <w:rsid w:val="00AE2ECE"/>
    <w:rsid w:val="00AE3578"/>
    <w:rsid w:val="00AE6E01"/>
    <w:rsid w:val="00AF1A58"/>
    <w:rsid w:val="00AF2848"/>
    <w:rsid w:val="00AF3C7C"/>
    <w:rsid w:val="00AF50B1"/>
    <w:rsid w:val="00AF52A1"/>
    <w:rsid w:val="00AF6059"/>
    <w:rsid w:val="00AF71E2"/>
    <w:rsid w:val="00AF75F2"/>
    <w:rsid w:val="00B02CC0"/>
    <w:rsid w:val="00B10A41"/>
    <w:rsid w:val="00B12D39"/>
    <w:rsid w:val="00B13EFF"/>
    <w:rsid w:val="00B14D75"/>
    <w:rsid w:val="00B2242E"/>
    <w:rsid w:val="00B24578"/>
    <w:rsid w:val="00B24EE6"/>
    <w:rsid w:val="00B25E98"/>
    <w:rsid w:val="00B262D1"/>
    <w:rsid w:val="00B2666B"/>
    <w:rsid w:val="00B26F1F"/>
    <w:rsid w:val="00B27CF3"/>
    <w:rsid w:val="00B30865"/>
    <w:rsid w:val="00B30B79"/>
    <w:rsid w:val="00B32573"/>
    <w:rsid w:val="00B33A15"/>
    <w:rsid w:val="00B3444F"/>
    <w:rsid w:val="00B34A83"/>
    <w:rsid w:val="00B356C9"/>
    <w:rsid w:val="00B358B1"/>
    <w:rsid w:val="00B370B2"/>
    <w:rsid w:val="00B379F8"/>
    <w:rsid w:val="00B419AF"/>
    <w:rsid w:val="00B42E7C"/>
    <w:rsid w:val="00B44003"/>
    <w:rsid w:val="00B44841"/>
    <w:rsid w:val="00B44B87"/>
    <w:rsid w:val="00B44D2F"/>
    <w:rsid w:val="00B45F79"/>
    <w:rsid w:val="00B46E46"/>
    <w:rsid w:val="00B474F8"/>
    <w:rsid w:val="00B5166F"/>
    <w:rsid w:val="00B53FC1"/>
    <w:rsid w:val="00B563A0"/>
    <w:rsid w:val="00B56562"/>
    <w:rsid w:val="00B568F2"/>
    <w:rsid w:val="00B57541"/>
    <w:rsid w:val="00B60B09"/>
    <w:rsid w:val="00B619FC"/>
    <w:rsid w:val="00B621E2"/>
    <w:rsid w:val="00B63F22"/>
    <w:rsid w:val="00B64E05"/>
    <w:rsid w:val="00B67222"/>
    <w:rsid w:val="00B70C7E"/>
    <w:rsid w:val="00B72637"/>
    <w:rsid w:val="00B74527"/>
    <w:rsid w:val="00B774F0"/>
    <w:rsid w:val="00B8054E"/>
    <w:rsid w:val="00B81BE8"/>
    <w:rsid w:val="00B828B5"/>
    <w:rsid w:val="00B828CE"/>
    <w:rsid w:val="00B83E2F"/>
    <w:rsid w:val="00B848F3"/>
    <w:rsid w:val="00B85C26"/>
    <w:rsid w:val="00B90F92"/>
    <w:rsid w:val="00B91694"/>
    <w:rsid w:val="00B955B5"/>
    <w:rsid w:val="00B96912"/>
    <w:rsid w:val="00B96DD5"/>
    <w:rsid w:val="00BA4C64"/>
    <w:rsid w:val="00BA68BA"/>
    <w:rsid w:val="00BA6ABD"/>
    <w:rsid w:val="00BA7C09"/>
    <w:rsid w:val="00BB286B"/>
    <w:rsid w:val="00BB2AC4"/>
    <w:rsid w:val="00BB4283"/>
    <w:rsid w:val="00BB580C"/>
    <w:rsid w:val="00BB6CC5"/>
    <w:rsid w:val="00BB76E9"/>
    <w:rsid w:val="00BB7F4C"/>
    <w:rsid w:val="00BC373C"/>
    <w:rsid w:val="00BC449D"/>
    <w:rsid w:val="00BC6BD5"/>
    <w:rsid w:val="00BD22B5"/>
    <w:rsid w:val="00BD38B0"/>
    <w:rsid w:val="00BD46FD"/>
    <w:rsid w:val="00BD541D"/>
    <w:rsid w:val="00BD7CF4"/>
    <w:rsid w:val="00BE28FF"/>
    <w:rsid w:val="00BE5391"/>
    <w:rsid w:val="00BE5DEA"/>
    <w:rsid w:val="00BE6B04"/>
    <w:rsid w:val="00BE72A3"/>
    <w:rsid w:val="00BF30AE"/>
    <w:rsid w:val="00BF3EA0"/>
    <w:rsid w:val="00BF49A9"/>
    <w:rsid w:val="00BF49BE"/>
    <w:rsid w:val="00BF4D3C"/>
    <w:rsid w:val="00BF5ADC"/>
    <w:rsid w:val="00BF5AFE"/>
    <w:rsid w:val="00BF6280"/>
    <w:rsid w:val="00BF779F"/>
    <w:rsid w:val="00C00212"/>
    <w:rsid w:val="00C0121B"/>
    <w:rsid w:val="00C026EF"/>
    <w:rsid w:val="00C03799"/>
    <w:rsid w:val="00C04214"/>
    <w:rsid w:val="00C110AE"/>
    <w:rsid w:val="00C133CD"/>
    <w:rsid w:val="00C13EC5"/>
    <w:rsid w:val="00C14D9F"/>
    <w:rsid w:val="00C2088B"/>
    <w:rsid w:val="00C20C0D"/>
    <w:rsid w:val="00C22B9C"/>
    <w:rsid w:val="00C22F7D"/>
    <w:rsid w:val="00C2487D"/>
    <w:rsid w:val="00C2559D"/>
    <w:rsid w:val="00C279BF"/>
    <w:rsid w:val="00C32012"/>
    <w:rsid w:val="00C327AD"/>
    <w:rsid w:val="00C34F8F"/>
    <w:rsid w:val="00C35AF4"/>
    <w:rsid w:val="00C35B30"/>
    <w:rsid w:val="00C3639D"/>
    <w:rsid w:val="00C40B0E"/>
    <w:rsid w:val="00C416CA"/>
    <w:rsid w:val="00C42B27"/>
    <w:rsid w:val="00C46140"/>
    <w:rsid w:val="00C5055F"/>
    <w:rsid w:val="00C5419F"/>
    <w:rsid w:val="00C54598"/>
    <w:rsid w:val="00C54A08"/>
    <w:rsid w:val="00C55715"/>
    <w:rsid w:val="00C57905"/>
    <w:rsid w:val="00C60513"/>
    <w:rsid w:val="00C6099A"/>
    <w:rsid w:val="00C60B21"/>
    <w:rsid w:val="00C64A22"/>
    <w:rsid w:val="00C64AAE"/>
    <w:rsid w:val="00C701A1"/>
    <w:rsid w:val="00C711A6"/>
    <w:rsid w:val="00C81D73"/>
    <w:rsid w:val="00C822DA"/>
    <w:rsid w:val="00C82876"/>
    <w:rsid w:val="00C83ABE"/>
    <w:rsid w:val="00C84286"/>
    <w:rsid w:val="00C8782C"/>
    <w:rsid w:val="00C9023F"/>
    <w:rsid w:val="00C91ED4"/>
    <w:rsid w:val="00C93DD5"/>
    <w:rsid w:val="00C9449A"/>
    <w:rsid w:val="00C953D0"/>
    <w:rsid w:val="00C95780"/>
    <w:rsid w:val="00CA2F18"/>
    <w:rsid w:val="00CA3C99"/>
    <w:rsid w:val="00CA4E14"/>
    <w:rsid w:val="00CA52E6"/>
    <w:rsid w:val="00CA5682"/>
    <w:rsid w:val="00CA7D69"/>
    <w:rsid w:val="00CB081F"/>
    <w:rsid w:val="00CB126A"/>
    <w:rsid w:val="00CB3FAB"/>
    <w:rsid w:val="00CB63AB"/>
    <w:rsid w:val="00CB740F"/>
    <w:rsid w:val="00CB758F"/>
    <w:rsid w:val="00CB76D5"/>
    <w:rsid w:val="00CB7AAD"/>
    <w:rsid w:val="00CC1BCE"/>
    <w:rsid w:val="00CC26A8"/>
    <w:rsid w:val="00CC4467"/>
    <w:rsid w:val="00CC587A"/>
    <w:rsid w:val="00CC6601"/>
    <w:rsid w:val="00CC7DD8"/>
    <w:rsid w:val="00CC7DDE"/>
    <w:rsid w:val="00CD1293"/>
    <w:rsid w:val="00CD17A4"/>
    <w:rsid w:val="00CD3FB0"/>
    <w:rsid w:val="00CD5FF3"/>
    <w:rsid w:val="00CD6C75"/>
    <w:rsid w:val="00CD7875"/>
    <w:rsid w:val="00CE172F"/>
    <w:rsid w:val="00CE1B15"/>
    <w:rsid w:val="00CE35E6"/>
    <w:rsid w:val="00CE4D87"/>
    <w:rsid w:val="00CE7546"/>
    <w:rsid w:val="00CF15C8"/>
    <w:rsid w:val="00CF1D70"/>
    <w:rsid w:val="00CF27F4"/>
    <w:rsid w:val="00CF3A94"/>
    <w:rsid w:val="00CF4D66"/>
    <w:rsid w:val="00CF5109"/>
    <w:rsid w:val="00CF79E3"/>
    <w:rsid w:val="00D002DE"/>
    <w:rsid w:val="00D129AB"/>
    <w:rsid w:val="00D12B4E"/>
    <w:rsid w:val="00D1396D"/>
    <w:rsid w:val="00D14D39"/>
    <w:rsid w:val="00D14F88"/>
    <w:rsid w:val="00D1515C"/>
    <w:rsid w:val="00D15466"/>
    <w:rsid w:val="00D15511"/>
    <w:rsid w:val="00D16338"/>
    <w:rsid w:val="00D172BA"/>
    <w:rsid w:val="00D2121D"/>
    <w:rsid w:val="00D21849"/>
    <w:rsid w:val="00D21CE3"/>
    <w:rsid w:val="00D21F3A"/>
    <w:rsid w:val="00D221F2"/>
    <w:rsid w:val="00D226F2"/>
    <w:rsid w:val="00D23485"/>
    <w:rsid w:val="00D236BF"/>
    <w:rsid w:val="00D2476A"/>
    <w:rsid w:val="00D25191"/>
    <w:rsid w:val="00D26BFE"/>
    <w:rsid w:val="00D32846"/>
    <w:rsid w:val="00D35980"/>
    <w:rsid w:val="00D360DF"/>
    <w:rsid w:val="00D368D1"/>
    <w:rsid w:val="00D370D6"/>
    <w:rsid w:val="00D402CA"/>
    <w:rsid w:val="00D40E3E"/>
    <w:rsid w:val="00D41B6D"/>
    <w:rsid w:val="00D43C69"/>
    <w:rsid w:val="00D43D1C"/>
    <w:rsid w:val="00D44A33"/>
    <w:rsid w:val="00D46E73"/>
    <w:rsid w:val="00D5011B"/>
    <w:rsid w:val="00D50701"/>
    <w:rsid w:val="00D5158F"/>
    <w:rsid w:val="00D52158"/>
    <w:rsid w:val="00D522E6"/>
    <w:rsid w:val="00D5371D"/>
    <w:rsid w:val="00D61660"/>
    <w:rsid w:val="00D61FF4"/>
    <w:rsid w:val="00D649A5"/>
    <w:rsid w:val="00D66854"/>
    <w:rsid w:val="00D70D00"/>
    <w:rsid w:val="00D715CD"/>
    <w:rsid w:val="00D7184A"/>
    <w:rsid w:val="00D71863"/>
    <w:rsid w:val="00D71B15"/>
    <w:rsid w:val="00D71E1F"/>
    <w:rsid w:val="00D75594"/>
    <w:rsid w:val="00D77615"/>
    <w:rsid w:val="00D77A3A"/>
    <w:rsid w:val="00D8257A"/>
    <w:rsid w:val="00D82C6D"/>
    <w:rsid w:val="00D83542"/>
    <w:rsid w:val="00D84AFF"/>
    <w:rsid w:val="00D84DB7"/>
    <w:rsid w:val="00D85E5B"/>
    <w:rsid w:val="00D864BB"/>
    <w:rsid w:val="00D92C4C"/>
    <w:rsid w:val="00D93BB7"/>
    <w:rsid w:val="00D941AD"/>
    <w:rsid w:val="00D9463D"/>
    <w:rsid w:val="00D94EDE"/>
    <w:rsid w:val="00D96385"/>
    <w:rsid w:val="00D96F8B"/>
    <w:rsid w:val="00DA3044"/>
    <w:rsid w:val="00DA3344"/>
    <w:rsid w:val="00DA3637"/>
    <w:rsid w:val="00DA654C"/>
    <w:rsid w:val="00DA6BDE"/>
    <w:rsid w:val="00DA7153"/>
    <w:rsid w:val="00DB0E05"/>
    <w:rsid w:val="00DB359E"/>
    <w:rsid w:val="00DB4780"/>
    <w:rsid w:val="00DB6830"/>
    <w:rsid w:val="00DB7E36"/>
    <w:rsid w:val="00DC4582"/>
    <w:rsid w:val="00DC522E"/>
    <w:rsid w:val="00DC6ED3"/>
    <w:rsid w:val="00DD0EEC"/>
    <w:rsid w:val="00DD111D"/>
    <w:rsid w:val="00DD1DC1"/>
    <w:rsid w:val="00DD2321"/>
    <w:rsid w:val="00DD26C8"/>
    <w:rsid w:val="00DD2C3F"/>
    <w:rsid w:val="00DD3300"/>
    <w:rsid w:val="00DD350A"/>
    <w:rsid w:val="00DD62C2"/>
    <w:rsid w:val="00DD681B"/>
    <w:rsid w:val="00DE1133"/>
    <w:rsid w:val="00DE1FAE"/>
    <w:rsid w:val="00DE2E76"/>
    <w:rsid w:val="00DE3C8A"/>
    <w:rsid w:val="00DE3F8E"/>
    <w:rsid w:val="00DE58D1"/>
    <w:rsid w:val="00DE606E"/>
    <w:rsid w:val="00DF028E"/>
    <w:rsid w:val="00DF08D9"/>
    <w:rsid w:val="00DF2466"/>
    <w:rsid w:val="00DF2B63"/>
    <w:rsid w:val="00DF3368"/>
    <w:rsid w:val="00DF3BFE"/>
    <w:rsid w:val="00DF528E"/>
    <w:rsid w:val="00DF6D2B"/>
    <w:rsid w:val="00DF71CA"/>
    <w:rsid w:val="00E001F5"/>
    <w:rsid w:val="00E0046A"/>
    <w:rsid w:val="00E029A3"/>
    <w:rsid w:val="00E04238"/>
    <w:rsid w:val="00E05F25"/>
    <w:rsid w:val="00E06398"/>
    <w:rsid w:val="00E06487"/>
    <w:rsid w:val="00E102F9"/>
    <w:rsid w:val="00E10CAC"/>
    <w:rsid w:val="00E11293"/>
    <w:rsid w:val="00E13C89"/>
    <w:rsid w:val="00E13E30"/>
    <w:rsid w:val="00E16AC2"/>
    <w:rsid w:val="00E174FB"/>
    <w:rsid w:val="00E17F42"/>
    <w:rsid w:val="00E20FCD"/>
    <w:rsid w:val="00E22A17"/>
    <w:rsid w:val="00E249E7"/>
    <w:rsid w:val="00E24F09"/>
    <w:rsid w:val="00E32D25"/>
    <w:rsid w:val="00E349C2"/>
    <w:rsid w:val="00E368AF"/>
    <w:rsid w:val="00E4015B"/>
    <w:rsid w:val="00E4022A"/>
    <w:rsid w:val="00E40FAF"/>
    <w:rsid w:val="00E42181"/>
    <w:rsid w:val="00E46355"/>
    <w:rsid w:val="00E4643D"/>
    <w:rsid w:val="00E4684F"/>
    <w:rsid w:val="00E50385"/>
    <w:rsid w:val="00E51D5A"/>
    <w:rsid w:val="00E52B0F"/>
    <w:rsid w:val="00E5332A"/>
    <w:rsid w:val="00E53D06"/>
    <w:rsid w:val="00E54AC1"/>
    <w:rsid w:val="00E54B5B"/>
    <w:rsid w:val="00E54CDF"/>
    <w:rsid w:val="00E5604F"/>
    <w:rsid w:val="00E56D89"/>
    <w:rsid w:val="00E60D2A"/>
    <w:rsid w:val="00E628CE"/>
    <w:rsid w:val="00E63A5F"/>
    <w:rsid w:val="00E651E1"/>
    <w:rsid w:val="00E663F3"/>
    <w:rsid w:val="00E7282D"/>
    <w:rsid w:val="00E7292B"/>
    <w:rsid w:val="00E837B1"/>
    <w:rsid w:val="00E83DAB"/>
    <w:rsid w:val="00E84482"/>
    <w:rsid w:val="00E853C5"/>
    <w:rsid w:val="00E859A0"/>
    <w:rsid w:val="00E85F09"/>
    <w:rsid w:val="00E86361"/>
    <w:rsid w:val="00E86D2B"/>
    <w:rsid w:val="00E8772B"/>
    <w:rsid w:val="00E87C88"/>
    <w:rsid w:val="00E90C13"/>
    <w:rsid w:val="00E9231D"/>
    <w:rsid w:val="00E931C9"/>
    <w:rsid w:val="00E93873"/>
    <w:rsid w:val="00E93B94"/>
    <w:rsid w:val="00E93E94"/>
    <w:rsid w:val="00E945DF"/>
    <w:rsid w:val="00E971FD"/>
    <w:rsid w:val="00EA009C"/>
    <w:rsid w:val="00EA0FCA"/>
    <w:rsid w:val="00EA12EA"/>
    <w:rsid w:val="00EA3338"/>
    <w:rsid w:val="00EA4C21"/>
    <w:rsid w:val="00EB28F4"/>
    <w:rsid w:val="00EB3F7B"/>
    <w:rsid w:val="00EB4AE8"/>
    <w:rsid w:val="00EB62E0"/>
    <w:rsid w:val="00EB6806"/>
    <w:rsid w:val="00EC0E38"/>
    <w:rsid w:val="00EC2985"/>
    <w:rsid w:val="00EC320D"/>
    <w:rsid w:val="00EC58B8"/>
    <w:rsid w:val="00EC62DA"/>
    <w:rsid w:val="00EC7083"/>
    <w:rsid w:val="00EC760F"/>
    <w:rsid w:val="00ED0C89"/>
    <w:rsid w:val="00ED2256"/>
    <w:rsid w:val="00ED4DF2"/>
    <w:rsid w:val="00ED6D19"/>
    <w:rsid w:val="00ED7076"/>
    <w:rsid w:val="00EE004A"/>
    <w:rsid w:val="00EE0A9D"/>
    <w:rsid w:val="00EE19BC"/>
    <w:rsid w:val="00EE4A0A"/>
    <w:rsid w:val="00EE7864"/>
    <w:rsid w:val="00EE7979"/>
    <w:rsid w:val="00EE7B54"/>
    <w:rsid w:val="00EF011F"/>
    <w:rsid w:val="00EF59BA"/>
    <w:rsid w:val="00EF792A"/>
    <w:rsid w:val="00F01464"/>
    <w:rsid w:val="00F03588"/>
    <w:rsid w:val="00F037A8"/>
    <w:rsid w:val="00F03A6E"/>
    <w:rsid w:val="00F0557E"/>
    <w:rsid w:val="00F05E09"/>
    <w:rsid w:val="00F071C9"/>
    <w:rsid w:val="00F0792C"/>
    <w:rsid w:val="00F10AD7"/>
    <w:rsid w:val="00F10E0C"/>
    <w:rsid w:val="00F110CB"/>
    <w:rsid w:val="00F13FA3"/>
    <w:rsid w:val="00F14374"/>
    <w:rsid w:val="00F1480A"/>
    <w:rsid w:val="00F154AE"/>
    <w:rsid w:val="00F15FC2"/>
    <w:rsid w:val="00F1689D"/>
    <w:rsid w:val="00F17D2A"/>
    <w:rsid w:val="00F20552"/>
    <w:rsid w:val="00F22223"/>
    <w:rsid w:val="00F263E1"/>
    <w:rsid w:val="00F273BF"/>
    <w:rsid w:val="00F27694"/>
    <w:rsid w:val="00F30E97"/>
    <w:rsid w:val="00F30F34"/>
    <w:rsid w:val="00F31897"/>
    <w:rsid w:val="00F31949"/>
    <w:rsid w:val="00F32AA9"/>
    <w:rsid w:val="00F34595"/>
    <w:rsid w:val="00F3515D"/>
    <w:rsid w:val="00F36D87"/>
    <w:rsid w:val="00F40FDD"/>
    <w:rsid w:val="00F46362"/>
    <w:rsid w:val="00F473B3"/>
    <w:rsid w:val="00F4756C"/>
    <w:rsid w:val="00F506F0"/>
    <w:rsid w:val="00F50965"/>
    <w:rsid w:val="00F51A3C"/>
    <w:rsid w:val="00F51B02"/>
    <w:rsid w:val="00F51F7C"/>
    <w:rsid w:val="00F527E5"/>
    <w:rsid w:val="00F53270"/>
    <w:rsid w:val="00F536EF"/>
    <w:rsid w:val="00F53DC8"/>
    <w:rsid w:val="00F5639E"/>
    <w:rsid w:val="00F5659F"/>
    <w:rsid w:val="00F5690A"/>
    <w:rsid w:val="00F573BA"/>
    <w:rsid w:val="00F632CD"/>
    <w:rsid w:val="00F64530"/>
    <w:rsid w:val="00F64800"/>
    <w:rsid w:val="00F65C5E"/>
    <w:rsid w:val="00F72CEA"/>
    <w:rsid w:val="00F7391B"/>
    <w:rsid w:val="00F743F9"/>
    <w:rsid w:val="00F75024"/>
    <w:rsid w:val="00F803CF"/>
    <w:rsid w:val="00F8212A"/>
    <w:rsid w:val="00F85B1C"/>
    <w:rsid w:val="00F85B7E"/>
    <w:rsid w:val="00F85D1D"/>
    <w:rsid w:val="00F875FE"/>
    <w:rsid w:val="00F912F5"/>
    <w:rsid w:val="00F92630"/>
    <w:rsid w:val="00F927C9"/>
    <w:rsid w:val="00F9298C"/>
    <w:rsid w:val="00F934AD"/>
    <w:rsid w:val="00F93AAC"/>
    <w:rsid w:val="00F94F44"/>
    <w:rsid w:val="00F958F1"/>
    <w:rsid w:val="00FA1167"/>
    <w:rsid w:val="00FA5B68"/>
    <w:rsid w:val="00FA5C14"/>
    <w:rsid w:val="00FA604F"/>
    <w:rsid w:val="00FA6D33"/>
    <w:rsid w:val="00FA781E"/>
    <w:rsid w:val="00FA78CF"/>
    <w:rsid w:val="00FB1D0C"/>
    <w:rsid w:val="00FB1FE9"/>
    <w:rsid w:val="00FB33EF"/>
    <w:rsid w:val="00FB3ECA"/>
    <w:rsid w:val="00FB5606"/>
    <w:rsid w:val="00FB6BF5"/>
    <w:rsid w:val="00FB7B99"/>
    <w:rsid w:val="00FC0B6D"/>
    <w:rsid w:val="00FC23D3"/>
    <w:rsid w:val="00FC2AE4"/>
    <w:rsid w:val="00FC2E2F"/>
    <w:rsid w:val="00FC5825"/>
    <w:rsid w:val="00FC75F9"/>
    <w:rsid w:val="00FD0240"/>
    <w:rsid w:val="00FD114B"/>
    <w:rsid w:val="00FD1884"/>
    <w:rsid w:val="00FD232A"/>
    <w:rsid w:val="00FD33BC"/>
    <w:rsid w:val="00FD3DDB"/>
    <w:rsid w:val="00FE0BA0"/>
    <w:rsid w:val="00FE124A"/>
    <w:rsid w:val="00FE14A5"/>
    <w:rsid w:val="00FE16B0"/>
    <w:rsid w:val="00FE1A89"/>
    <w:rsid w:val="00FE2036"/>
    <w:rsid w:val="00FE2735"/>
    <w:rsid w:val="00FE4542"/>
    <w:rsid w:val="00FF05CD"/>
    <w:rsid w:val="00FF11B7"/>
    <w:rsid w:val="00FF2290"/>
    <w:rsid w:val="00FF446C"/>
    <w:rsid w:val="00FF4B00"/>
    <w:rsid w:val="00FF5A90"/>
    <w:rsid w:val="00FF66B6"/>
    <w:rsid w:val="00FF6C52"/>
    <w:rsid w:val="00FF74EA"/>
    <w:rsid w:val="00FF7D7D"/>
    <w:rsid w:val="050379C5"/>
    <w:rsid w:val="0E0620AA"/>
    <w:rsid w:val="14B25538"/>
    <w:rsid w:val="30195C2D"/>
    <w:rsid w:val="4C481AE7"/>
    <w:rsid w:val="507F05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43506"/>
  <w15:docId w15:val="{02C77787-134F-40E2-A3D5-1A701EE75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ind w:firstLineChars="200" w:firstLine="200"/>
      <w:jc w:val="both"/>
    </w:pPr>
    <w:rPr>
      <w:rFonts w:ascii="仿宋_GB2312" w:eastAsia="仿宋_GB2312"/>
      <w:kern w:val="2"/>
      <w:sz w:val="32"/>
      <w:szCs w:val="22"/>
    </w:rPr>
  </w:style>
  <w:style w:type="paragraph" w:styleId="1">
    <w:name w:val="heading 1"/>
    <w:basedOn w:val="a"/>
    <w:next w:val="a"/>
    <w:link w:val="10"/>
    <w:uiPriority w:val="9"/>
    <w:qFormat/>
    <w:pPr>
      <w:keepNext/>
      <w:keepLines/>
      <w:spacing w:before="360" w:after="360" w:line="520" w:lineRule="exact"/>
      <w:ind w:firstLineChars="0" w:firstLine="0"/>
      <w:jc w:val="center"/>
      <w:outlineLvl w:val="0"/>
    </w:pPr>
    <w:rPr>
      <w:rFonts w:eastAsia="黑体"/>
      <w:bCs/>
      <w:kern w:val="44"/>
      <w:szCs w:val="32"/>
    </w:rPr>
  </w:style>
  <w:style w:type="paragraph" w:styleId="2">
    <w:name w:val="heading 2"/>
    <w:basedOn w:val="a"/>
    <w:next w:val="a"/>
    <w:link w:val="20"/>
    <w:uiPriority w:val="9"/>
    <w:unhideWhenUsed/>
    <w:qFormat/>
    <w:pPr>
      <w:keepNext/>
      <w:keepLines/>
      <w:ind w:firstLineChars="0" w:firstLine="0"/>
      <w:outlineLvl w:val="1"/>
    </w:pPr>
    <w:rPr>
      <w:rFonts w:ascii="楷体_GB2312" w:eastAsia="楷体_GB2312" w:hAnsiTheme="majorHAnsi" w:cstheme="majorBidi"/>
      <w:b/>
      <w:bCs/>
      <w:szCs w:val="32"/>
    </w:rPr>
  </w:style>
  <w:style w:type="paragraph" w:styleId="3">
    <w:name w:val="heading 3"/>
    <w:basedOn w:val="a"/>
    <w:next w:val="a"/>
    <w:link w:val="30"/>
    <w:uiPriority w:val="9"/>
    <w:unhideWhenUsed/>
    <w:qFormat/>
    <w:pPr>
      <w:keepNext/>
      <w:keepLines/>
      <w:outlineLvl w:val="2"/>
    </w:pPr>
    <w:rPr>
      <w:b/>
      <w:bCs/>
      <w:szCs w:val="32"/>
    </w:rPr>
  </w:style>
  <w:style w:type="paragraph" w:styleId="4">
    <w:name w:val="heading 4"/>
    <w:basedOn w:val="a"/>
    <w:next w:val="a"/>
    <w:link w:val="40"/>
    <w:uiPriority w:val="9"/>
    <w:unhideWhenUsed/>
    <w:qFormat/>
    <w:pPr>
      <w:ind w:firstLine="643"/>
      <w:outlineLvl w:val="3"/>
    </w:pPr>
    <w:rPr>
      <w:b/>
      <w:lang w:val="ru-RU"/>
    </w:rPr>
  </w:style>
  <w:style w:type="paragraph" w:styleId="8">
    <w:name w:val="heading 8"/>
    <w:basedOn w:val="a"/>
    <w:next w:val="a"/>
    <w:link w:val="80"/>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eastAsia="宋体"/>
      <w:sz w:val="18"/>
      <w:szCs w:val="18"/>
    </w:rPr>
  </w:style>
  <w:style w:type="paragraph" w:styleId="a5">
    <w:name w:val="annotation text"/>
    <w:basedOn w:val="a"/>
    <w:link w:val="a6"/>
    <w:qFormat/>
    <w:pPr>
      <w:spacing w:line="240" w:lineRule="auto"/>
      <w:ind w:firstLineChars="0" w:firstLine="0"/>
      <w:jc w:val="left"/>
    </w:pPr>
    <w:rPr>
      <w:rFonts w:ascii="Times New Roman" w:eastAsia="宋体" w:hAnsi="Times New Roman" w:cs="Times New Roman"/>
      <w:sz w:val="21"/>
      <w:szCs w:val="20"/>
    </w:rPr>
  </w:style>
  <w:style w:type="paragraph" w:styleId="31">
    <w:name w:val="toc 3"/>
    <w:basedOn w:val="a"/>
    <w:next w:val="a"/>
    <w:uiPriority w:val="39"/>
    <w:unhideWhenUsed/>
    <w:pPr>
      <w:tabs>
        <w:tab w:val="right" w:leader="dot" w:pos="8296"/>
      </w:tabs>
      <w:ind w:firstLine="640"/>
    </w:pPr>
  </w:style>
  <w:style w:type="paragraph" w:styleId="a7">
    <w:name w:val="Plain Text"/>
    <w:basedOn w:val="a"/>
    <w:link w:val="a8"/>
    <w:qFormat/>
    <w:pPr>
      <w:spacing w:line="240" w:lineRule="auto"/>
      <w:ind w:firstLineChars="0" w:firstLine="0"/>
    </w:pPr>
    <w:rPr>
      <w:rFonts w:ascii="宋体" w:eastAsiaTheme="minorEastAsia" w:hAnsi="Courier New" w:cs="宋体"/>
      <w:sz w:val="21"/>
      <w:szCs w:val="21"/>
    </w:rPr>
  </w:style>
  <w:style w:type="paragraph" w:styleId="a9">
    <w:name w:val="Balloon Text"/>
    <w:basedOn w:val="a"/>
    <w:link w:val="aa"/>
    <w:uiPriority w:val="99"/>
    <w:semiHidden/>
    <w:unhideWhenUsed/>
    <w:pPr>
      <w:spacing w:line="240" w:lineRule="auto"/>
    </w:pPr>
    <w:rPr>
      <w:sz w:val="18"/>
      <w:szCs w:val="18"/>
    </w:rPr>
  </w:style>
  <w:style w:type="paragraph" w:styleId="ab">
    <w:name w:val="footer"/>
    <w:basedOn w:val="a"/>
    <w:link w:val="ac"/>
    <w:uiPriority w:val="99"/>
    <w:unhideWhenUsed/>
    <w:pPr>
      <w:tabs>
        <w:tab w:val="center" w:pos="4153"/>
        <w:tab w:val="right" w:pos="8306"/>
      </w:tabs>
      <w:snapToGrid w:val="0"/>
      <w:jc w:val="left"/>
    </w:pPr>
    <w:rPr>
      <w:sz w:val="18"/>
      <w:szCs w:val="18"/>
    </w:rPr>
  </w:style>
  <w:style w:type="paragraph" w:styleId="ad">
    <w:name w:val="header"/>
    <w:basedOn w:val="a"/>
    <w:link w:val="ae"/>
    <w:uiPriority w:val="99"/>
    <w:semiHidden/>
    <w:unhideWhenUsed/>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pPr>
      <w:tabs>
        <w:tab w:val="right" w:leader="dot" w:pos="8296"/>
      </w:tabs>
      <w:ind w:firstLineChars="0" w:firstLine="0"/>
    </w:pPr>
    <w:rPr>
      <w:rFonts w:ascii="黑体" w:eastAsia="黑体" w:hAnsi="黑体"/>
      <w:sz w:val="28"/>
      <w:szCs w:val="28"/>
    </w:rPr>
  </w:style>
  <w:style w:type="paragraph" w:styleId="21">
    <w:name w:val="toc 2"/>
    <w:basedOn w:val="a"/>
    <w:next w:val="a"/>
    <w:uiPriority w:val="39"/>
    <w:unhideWhenUsed/>
    <w:pPr>
      <w:tabs>
        <w:tab w:val="right" w:leader="dot" w:pos="8296"/>
      </w:tabs>
      <w:ind w:firstLineChars="100" w:firstLine="320"/>
    </w:pPr>
  </w:style>
  <w:style w:type="paragraph" w:styleId="af">
    <w:name w:val="Normal (Web)"/>
    <w:basedOn w:val="a"/>
    <w:unhideWhenUsed/>
    <w:qFormat/>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styleId="af0">
    <w:name w:val="Title"/>
    <w:basedOn w:val="a"/>
    <w:link w:val="12"/>
    <w:qFormat/>
    <w:pPr>
      <w:spacing w:before="240" w:after="60" w:line="240" w:lineRule="auto"/>
      <w:ind w:firstLineChars="0" w:firstLine="0"/>
      <w:jc w:val="center"/>
      <w:outlineLvl w:val="0"/>
    </w:pPr>
    <w:rPr>
      <w:rFonts w:ascii="Arial" w:eastAsia="宋体" w:hAnsi="Arial" w:cs="Arial"/>
      <w:b/>
      <w:bCs/>
      <w:szCs w:val="32"/>
    </w:rPr>
  </w:style>
  <w:style w:type="paragraph" w:styleId="af1">
    <w:name w:val="annotation subject"/>
    <w:basedOn w:val="a5"/>
    <w:next w:val="a5"/>
    <w:link w:val="af2"/>
    <w:uiPriority w:val="99"/>
    <w:semiHidden/>
    <w:unhideWhenUsed/>
    <w:pPr>
      <w:spacing w:line="360" w:lineRule="auto"/>
      <w:ind w:firstLineChars="200" w:firstLine="200"/>
    </w:pPr>
    <w:rPr>
      <w:rFonts w:ascii="仿宋_GB2312" w:eastAsia="仿宋_GB2312" w:hAnsiTheme="minorHAnsi" w:cstheme="minorBidi"/>
      <w:b/>
      <w:bCs/>
      <w:sz w:val="32"/>
      <w:szCs w:val="22"/>
    </w:rPr>
  </w:style>
  <w:style w:type="character" w:styleId="af3">
    <w:name w:val="Hyperlink"/>
    <w:basedOn w:val="a0"/>
    <w:uiPriority w:val="99"/>
    <w:unhideWhenUsed/>
    <w:rPr>
      <w:color w:val="0000FF" w:themeColor="hyperlink"/>
      <w:u w:val="single"/>
    </w:rPr>
  </w:style>
  <w:style w:type="character" w:styleId="af4">
    <w:name w:val="annotation reference"/>
    <w:qFormat/>
    <w:rPr>
      <w:sz w:val="21"/>
      <w:szCs w:val="21"/>
    </w:rPr>
  </w:style>
  <w:style w:type="character" w:customStyle="1" w:styleId="10">
    <w:name w:val="标题 1 字符"/>
    <w:basedOn w:val="a0"/>
    <w:link w:val="1"/>
    <w:uiPriority w:val="9"/>
    <w:rPr>
      <w:rFonts w:ascii="仿宋_GB2312" w:eastAsia="黑体"/>
      <w:bCs/>
      <w:kern w:val="44"/>
      <w:sz w:val="32"/>
      <w:szCs w:val="32"/>
    </w:rPr>
  </w:style>
  <w:style w:type="character" w:customStyle="1" w:styleId="20">
    <w:name w:val="标题 2 字符"/>
    <w:basedOn w:val="a0"/>
    <w:link w:val="2"/>
    <w:uiPriority w:val="9"/>
    <w:rPr>
      <w:rFonts w:ascii="楷体_GB2312" w:eastAsia="楷体_GB2312" w:hAnsiTheme="majorHAnsi" w:cstheme="majorBidi"/>
      <w:b/>
      <w:bCs/>
      <w:sz w:val="32"/>
      <w:szCs w:val="32"/>
    </w:rPr>
  </w:style>
  <w:style w:type="character" w:customStyle="1" w:styleId="30">
    <w:name w:val="标题 3 字符"/>
    <w:basedOn w:val="a0"/>
    <w:link w:val="3"/>
    <w:uiPriority w:val="9"/>
    <w:rPr>
      <w:rFonts w:ascii="仿宋_GB2312" w:eastAsia="仿宋_GB2312"/>
      <w:b/>
      <w:bCs/>
      <w:sz w:val="32"/>
      <w:szCs w:val="32"/>
    </w:rPr>
  </w:style>
  <w:style w:type="character" w:customStyle="1" w:styleId="40">
    <w:name w:val="标题 4 字符"/>
    <w:basedOn w:val="a0"/>
    <w:link w:val="4"/>
    <w:uiPriority w:val="9"/>
    <w:rPr>
      <w:rFonts w:ascii="仿宋_GB2312" w:eastAsia="仿宋_GB2312"/>
      <w:b/>
      <w:sz w:val="32"/>
      <w:lang w:val="ru-RU"/>
    </w:rPr>
  </w:style>
  <w:style w:type="character" w:customStyle="1" w:styleId="80">
    <w:name w:val="标题 8 字符"/>
    <w:basedOn w:val="a0"/>
    <w:link w:val="8"/>
    <w:uiPriority w:val="9"/>
    <w:semiHidden/>
    <w:rPr>
      <w:rFonts w:asciiTheme="majorHAnsi" w:eastAsiaTheme="majorEastAsia" w:hAnsiTheme="majorHAnsi" w:cstheme="majorBidi"/>
      <w:sz w:val="24"/>
      <w:szCs w:val="24"/>
    </w:rPr>
  </w:style>
  <w:style w:type="character" w:customStyle="1" w:styleId="ae">
    <w:name w:val="页眉 字符"/>
    <w:basedOn w:val="a0"/>
    <w:link w:val="ad"/>
    <w:uiPriority w:val="99"/>
    <w:semiHidden/>
    <w:rPr>
      <w:sz w:val="18"/>
      <w:szCs w:val="18"/>
    </w:rPr>
  </w:style>
  <w:style w:type="character" w:customStyle="1" w:styleId="ac">
    <w:name w:val="页脚 字符"/>
    <w:basedOn w:val="a0"/>
    <w:link w:val="ab"/>
    <w:uiPriority w:val="99"/>
    <w:rPr>
      <w:sz w:val="18"/>
      <w:szCs w:val="18"/>
    </w:rPr>
  </w:style>
  <w:style w:type="character" w:customStyle="1" w:styleId="a4">
    <w:name w:val="文档结构图 字符"/>
    <w:basedOn w:val="a0"/>
    <w:link w:val="a3"/>
    <w:uiPriority w:val="99"/>
    <w:semiHidden/>
    <w:rPr>
      <w:rFonts w:ascii="宋体" w:eastAsia="宋体"/>
      <w:sz w:val="18"/>
      <w:szCs w:val="18"/>
    </w:rPr>
  </w:style>
  <w:style w:type="paragraph" w:customStyle="1" w:styleId="Style1">
    <w:name w:val="_Style 1"/>
    <w:basedOn w:val="a"/>
    <w:uiPriority w:val="99"/>
    <w:qFormat/>
    <w:pPr>
      <w:wordWrap w:val="0"/>
      <w:spacing w:line="240" w:lineRule="auto"/>
    </w:pPr>
    <w:rPr>
      <w:rFonts w:ascii="Times New Roman" w:eastAsia="宋体" w:hAnsi="Times New Roman" w:cs="Times New Roman"/>
      <w:sz w:val="21"/>
      <w:szCs w:val="20"/>
    </w:rPr>
  </w:style>
  <w:style w:type="character" w:customStyle="1" w:styleId="a6">
    <w:name w:val="批注文字 字符"/>
    <w:link w:val="a5"/>
    <w:qFormat/>
    <w:rPr>
      <w:rFonts w:ascii="Times New Roman" w:eastAsia="宋体" w:hAnsi="Times New Roman" w:cs="Times New Roman"/>
      <w:szCs w:val="20"/>
    </w:rPr>
  </w:style>
  <w:style w:type="character" w:customStyle="1" w:styleId="Char">
    <w:name w:val="批注文字 Char"/>
    <w:basedOn w:val="a0"/>
    <w:uiPriority w:val="99"/>
    <w:semiHidden/>
    <w:rPr>
      <w:rFonts w:ascii="仿宋_GB2312" w:eastAsia="仿宋_GB2312"/>
      <w:sz w:val="32"/>
    </w:rPr>
  </w:style>
  <w:style w:type="character" w:customStyle="1" w:styleId="aa">
    <w:name w:val="批注框文本 字符"/>
    <w:basedOn w:val="a0"/>
    <w:link w:val="a9"/>
    <w:uiPriority w:val="99"/>
    <w:semiHidden/>
    <w:rPr>
      <w:rFonts w:ascii="仿宋_GB2312" w:eastAsia="仿宋_GB2312"/>
      <w:sz w:val="18"/>
      <w:szCs w:val="18"/>
    </w:rPr>
  </w:style>
  <w:style w:type="paragraph" w:customStyle="1" w:styleId="13">
    <w:name w:val="样式1"/>
    <w:basedOn w:val="a"/>
    <w:pPr>
      <w:adjustRightInd w:val="0"/>
      <w:snapToGrid w:val="0"/>
      <w:spacing w:afterLines="50" w:line="560" w:lineRule="exact"/>
      <w:ind w:firstLineChars="0" w:firstLine="0"/>
      <w:jc w:val="center"/>
    </w:pPr>
    <w:rPr>
      <w:rFonts w:ascii="Times New Roman" w:eastAsia="宋体" w:hAnsi="宋体" w:cs="Times New Roman"/>
      <w:sz w:val="22"/>
      <w:szCs w:val="24"/>
    </w:rPr>
  </w:style>
  <w:style w:type="paragraph" w:customStyle="1" w:styleId="af5">
    <w:name w:val="表标题"/>
    <w:basedOn w:val="8"/>
    <w:pPr>
      <w:adjustRightInd w:val="0"/>
      <w:snapToGrid w:val="0"/>
      <w:spacing w:before="0" w:after="0" w:line="240" w:lineRule="auto"/>
      <w:ind w:firstLineChars="0" w:firstLine="0"/>
      <w:jc w:val="center"/>
    </w:pPr>
    <w:rPr>
      <w:rFonts w:ascii="Times New Roman" w:eastAsia="黑体" w:hAnsi="Times New Roman" w:cs="Times New Roman"/>
      <w:b/>
      <w:bCs/>
    </w:rPr>
  </w:style>
  <w:style w:type="character" w:customStyle="1" w:styleId="a8">
    <w:name w:val="纯文本 字符"/>
    <w:basedOn w:val="a0"/>
    <w:link w:val="a7"/>
    <w:qFormat/>
    <w:rPr>
      <w:rFonts w:ascii="宋体" w:hAnsi="Courier New" w:cs="宋体"/>
      <w:szCs w:val="21"/>
    </w:rPr>
  </w:style>
  <w:style w:type="character" w:customStyle="1" w:styleId="12">
    <w:name w:val="标题 字符1"/>
    <w:link w:val="af0"/>
    <w:qFormat/>
    <w:rPr>
      <w:rFonts w:ascii="Arial" w:eastAsia="宋体" w:hAnsi="Arial" w:cs="Arial"/>
      <w:b/>
      <w:bCs/>
      <w:sz w:val="32"/>
      <w:szCs w:val="32"/>
    </w:rPr>
  </w:style>
  <w:style w:type="character" w:customStyle="1" w:styleId="Char0">
    <w:name w:val="标题 Char"/>
    <w:basedOn w:val="a0"/>
    <w:uiPriority w:val="10"/>
    <w:rPr>
      <w:rFonts w:asciiTheme="majorHAnsi" w:eastAsia="宋体" w:hAnsiTheme="majorHAnsi" w:cstheme="majorBidi"/>
      <w:b/>
      <w:bCs/>
      <w:sz w:val="32"/>
      <w:szCs w:val="32"/>
    </w:rPr>
  </w:style>
  <w:style w:type="character" w:customStyle="1" w:styleId="bjh-p">
    <w:name w:val="bjh-p"/>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b/>
      <w:color w:val="365F91" w:themeColor="accent1" w:themeShade="BF"/>
      <w:kern w:val="0"/>
      <w:sz w:val="28"/>
      <w:szCs w:val="28"/>
    </w:rPr>
  </w:style>
  <w:style w:type="character" w:customStyle="1" w:styleId="af6">
    <w:name w:val="标题 字符"/>
    <w:rPr>
      <w:rFonts w:ascii="Arial" w:hAnsi="Arial" w:cs="Arial"/>
      <w:b/>
      <w:bCs/>
      <w:kern w:val="2"/>
      <w:sz w:val="32"/>
      <w:szCs w:val="32"/>
    </w:rPr>
  </w:style>
  <w:style w:type="paragraph" w:customStyle="1" w:styleId="font5">
    <w:name w:val="font5"/>
    <w:basedOn w:val="a"/>
    <w:pPr>
      <w:widowControl/>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font6">
    <w:name w:val="font6"/>
    <w:basedOn w:val="a"/>
    <w:pPr>
      <w:widowControl/>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font7">
    <w:name w:val="font7"/>
    <w:basedOn w:val="a"/>
    <w:pPr>
      <w:widowControl/>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font8">
    <w:name w:val="font8"/>
    <w:basedOn w:val="a"/>
    <w:pPr>
      <w:widowControl/>
      <w:spacing w:before="100" w:beforeAutospacing="1" w:after="100" w:afterAutospacing="1" w:line="240" w:lineRule="auto"/>
      <w:ind w:firstLineChars="0" w:firstLine="0"/>
      <w:jc w:val="left"/>
    </w:pPr>
    <w:rPr>
      <w:rFonts w:ascii="Times New Roman" w:eastAsia="宋体" w:hAnsi="Times New Roman" w:cs="Times New Roman"/>
      <w:kern w:val="0"/>
      <w:sz w:val="23"/>
      <w:szCs w:val="23"/>
    </w:rPr>
  </w:style>
  <w:style w:type="paragraph" w:customStyle="1" w:styleId="font9">
    <w:name w:val="font9"/>
    <w:basedOn w:val="a"/>
    <w:pPr>
      <w:widowControl/>
      <w:spacing w:before="100" w:beforeAutospacing="1" w:after="100" w:afterAutospacing="1" w:line="240" w:lineRule="auto"/>
      <w:ind w:firstLineChars="0" w:firstLine="0"/>
      <w:jc w:val="left"/>
    </w:pPr>
    <w:rPr>
      <w:rFonts w:ascii="Times New Roman" w:eastAsia="宋体" w:hAnsi="Times New Roman" w:cs="Times New Roman"/>
      <w:kern w:val="0"/>
      <w:sz w:val="23"/>
      <w:szCs w:val="23"/>
    </w:rPr>
  </w:style>
  <w:style w:type="paragraph" w:customStyle="1" w:styleId="xl63">
    <w:name w:val="xl63"/>
    <w:basedOn w:val="a"/>
    <w:pPr>
      <w:widowControl/>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64">
    <w:name w:val="xl6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6"/>
      <w:szCs w:val="26"/>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6"/>
      <w:szCs w:val="26"/>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3"/>
      <w:szCs w:val="23"/>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70">
    <w:name w:val="xl70"/>
    <w:basedOn w:val="a"/>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3"/>
      <w:szCs w:val="23"/>
    </w:rPr>
  </w:style>
  <w:style w:type="paragraph" w:customStyle="1" w:styleId="xl71">
    <w:name w:val="xl71"/>
    <w:basedOn w:val="a"/>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72">
    <w:name w:val="xl72"/>
    <w:basedOn w:val="a"/>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73">
    <w:name w:val="xl73"/>
    <w:basedOn w:val="a"/>
    <w:pPr>
      <w:widowControl/>
      <w:pBdr>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3"/>
      <w:szCs w:val="23"/>
    </w:rPr>
  </w:style>
  <w:style w:type="paragraph" w:customStyle="1" w:styleId="xl74">
    <w:name w:val="xl74"/>
    <w:basedOn w:val="a"/>
    <w:pPr>
      <w:widowControl/>
      <w:pBdr>
        <w:left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75">
    <w:name w:val="xl75"/>
    <w:basedOn w:val="a"/>
    <w:pPr>
      <w:widowControl/>
      <w:pBdr>
        <w:left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76">
    <w:name w:val="xl76"/>
    <w:basedOn w:val="a"/>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3"/>
      <w:szCs w:val="23"/>
    </w:rPr>
  </w:style>
  <w:style w:type="paragraph" w:customStyle="1" w:styleId="xl77">
    <w:name w:val="xl77"/>
    <w:basedOn w:val="a"/>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78">
    <w:name w:val="xl78"/>
    <w:basedOn w:val="a"/>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79">
    <w:name w:val="xl79"/>
    <w:basedOn w:val="a"/>
    <w:pPr>
      <w:widowControl/>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80">
    <w:name w:val="xl8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3"/>
      <w:szCs w:val="23"/>
    </w:rPr>
  </w:style>
  <w:style w:type="paragraph" w:customStyle="1" w:styleId="xl81">
    <w:name w:val="xl81"/>
    <w:basedOn w:val="a"/>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82">
    <w:name w:val="xl82"/>
    <w:basedOn w:val="a"/>
    <w:pPr>
      <w:widowControl/>
      <w:pBdr>
        <w:top w:val="single" w:sz="4" w:space="0" w:color="auto"/>
        <w:bottom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Times New Roman" w:eastAsia="宋体" w:hAnsi="Times New Roman" w:cs="Times New Roman"/>
      <w:kern w:val="0"/>
      <w:sz w:val="23"/>
      <w:szCs w:val="23"/>
    </w:rPr>
  </w:style>
  <w:style w:type="paragraph" w:customStyle="1" w:styleId="xl84">
    <w:name w:val="xl84"/>
    <w:basedOn w:val="a"/>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85">
    <w:name w:val="xl85"/>
    <w:basedOn w:val="a"/>
    <w:pPr>
      <w:widowControl/>
      <w:pBdr>
        <w:top w:val="single" w:sz="4" w:space="0" w:color="auto"/>
        <w:bottom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86">
    <w:name w:val="xl86"/>
    <w:basedOn w:val="a"/>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3"/>
      <w:szCs w:val="23"/>
    </w:rPr>
  </w:style>
  <w:style w:type="paragraph" w:customStyle="1" w:styleId="xl87">
    <w:name w:val="xl87"/>
    <w:basedOn w:val="a"/>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88">
    <w:name w:val="xl88"/>
    <w:basedOn w:val="a"/>
    <w:pPr>
      <w:widowControl/>
      <w:pBdr>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3"/>
      <w:szCs w:val="23"/>
    </w:rPr>
  </w:style>
  <w:style w:type="paragraph" w:customStyle="1" w:styleId="xl89">
    <w:name w:val="xl89"/>
    <w:basedOn w:val="a"/>
    <w:pPr>
      <w:widowControl/>
      <w:pBdr>
        <w:left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90">
    <w:name w:val="xl90"/>
    <w:basedOn w:val="a"/>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3"/>
      <w:szCs w:val="23"/>
    </w:rPr>
  </w:style>
  <w:style w:type="paragraph" w:customStyle="1" w:styleId="xl91">
    <w:name w:val="xl91"/>
    <w:basedOn w:val="a"/>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92">
    <w:name w:val="xl92"/>
    <w:basedOn w:val="a"/>
    <w:pPr>
      <w:widowControl/>
      <w:spacing w:before="100" w:beforeAutospacing="1" w:after="100" w:afterAutospacing="1" w:line="240" w:lineRule="auto"/>
      <w:ind w:firstLineChars="0" w:firstLine="0"/>
      <w:jc w:val="center"/>
    </w:pPr>
    <w:rPr>
      <w:rFonts w:ascii="宋体" w:eastAsia="宋体" w:hAnsi="宋体" w:cs="宋体"/>
      <w:kern w:val="0"/>
      <w:sz w:val="23"/>
      <w:szCs w:val="23"/>
    </w:rPr>
  </w:style>
  <w:style w:type="paragraph" w:customStyle="1" w:styleId="xl93">
    <w:name w:val="xl9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94">
    <w:name w:val="xl9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3"/>
      <w:szCs w:val="23"/>
    </w:rPr>
  </w:style>
  <w:style w:type="paragraph" w:customStyle="1" w:styleId="xl95">
    <w:name w:val="xl9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xl96">
    <w:name w:val="xl96"/>
    <w:basedOn w:val="a"/>
    <w:pPr>
      <w:widowControl/>
      <w:spacing w:before="100" w:beforeAutospacing="1" w:after="100" w:afterAutospacing="1" w:line="240" w:lineRule="auto"/>
      <w:ind w:firstLineChars="0" w:firstLine="0"/>
      <w:jc w:val="left"/>
    </w:pPr>
    <w:rPr>
      <w:rFonts w:ascii="宋体" w:eastAsia="宋体" w:hAnsi="宋体" w:cs="宋体"/>
      <w:b/>
      <w:bCs/>
      <w:kern w:val="0"/>
      <w:sz w:val="26"/>
      <w:szCs w:val="26"/>
    </w:rPr>
  </w:style>
  <w:style w:type="paragraph" w:customStyle="1" w:styleId="xl97">
    <w:name w:val="xl97"/>
    <w:basedOn w:val="a"/>
    <w:pPr>
      <w:widowControl/>
      <w:spacing w:before="100" w:beforeAutospacing="1" w:after="100" w:afterAutospacing="1" w:line="240" w:lineRule="auto"/>
      <w:ind w:firstLineChars="0" w:firstLine="0"/>
      <w:jc w:val="left"/>
    </w:pPr>
    <w:rPr>
      <w:rFonts w:ascii="宋体" w:eastAsia="宋体" w:hAnsi="宋体" w:cs="宋体"/>
      <w:color w:val="FF0000"/>
      <w:kern w:val="0"/>
      <w:sz w:val="24"/>
      <w:szCs w:val="24"/>
    </w:rPr>
  </w:style>
  <w:style w:type="paragraph" w:customStyle="1" w:styleId="xl98">
    <w:name w:val="xl98"/>
    <w:basedOn w:val="a"/>
    <w:pPr>
      <w:widowControl/>
      <w:spacing w:before="100" w:beforeAutospacing="1" w:after="100" w:afterAutospacing="1" w:line="240" w:lineRule="auto"/>
      <w:ind w:firstLineChars="0" w:firstLine="0"/>
      <w:jc w:val="left"/>
    </w:pPr>
    <w:rPr>
      <w:rFonts w:ascii="宋体" w:eastAsia="宋体" w:hAnsi="宋体" w:cs="宋体"/>
      <w:color w:val="FF0000"/>
      <w:kern w:val="0"/>
      <w:sz w:val="23"/>
      <w:szCs w:val="23"/>
    </w:rPr>
  </w:style>
  <w:style w:type="paragraph" w:customStyle="1" w:styleId="xl99">
    <w:name w:val="xl99"/>
    <w:basedOn w:val="a"/>
    <w:pPr>
      <w:widowControl/>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100">
    <w:name w:val="xl100"/>
    <w:basedOn w:val="a"/>
    <w:pPr>
      <w:widowControl/>
      <w:spacing w:before="100" w:beforeAutospacing="1" w:after="100" w:afterAutospacing="1" w:line="240" w:lineRule="auto"/>
      <w:ind w:firstLineChars="0" w:firstLine="0"/>
      <w:jc w:val="left"/>
    </w:pPr>
    <w:rPr>
      <w:rFonts w:ascii="宋体" w:eastAsia="宋体" w:hAnsi="宋体" w:cs="宋体"/>
      <w:b/>
      <w:bCs/>
      <w:kern w:val="0"/>
      <w:sz w:val="24"/>
      <w:szCs w:val="24"/>
    </w:rPr>
  </w:style>
  <w:style w:type="paragraph" w:customStyle="1" w:styleId="xl101">
    <w:name w:val="xl101"/>
    <w:basedOn w:val="a"/>
    <w:pPr>
      <w:widowControl/>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xl102">
    <w:name w:val="xl10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6"/>
      <w:szCs w:val="26"/>
    </w:rPr>
  </w:style>
  <w:style w:type="paragraph" w:customStyle="1" w:styleId="xl103">
    <w:name w:val="xl10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104">
    <w:name w:val="xl10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105">
    <w:name w:val="xl105"/>
    <w:basedOn w:val="a"/>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106">
    <w:name w:val="xl106"/>
    <w:basedOn w:val="a"/>
    <w:pPr>
      <w:widowControl/>
      <w:pBdr>
        <w:left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107">
    <w:name w:val="xl107"/>
    <w:basedOn w:val="a"/>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3"/>
      <w:szCs w:val="23"/>
    </w:rPr>
  </w:style>
  <w:style w:type="paragraph" w:customStyle="1" w:styleId="xl108">
    <w:name w:val="xl10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3"/>
      <w:szCs w:val="23"/>
    </w:rPr>
  </w:style>
  <w:style w:type="paragraph" w:customStyle="1" w:styleId="xl109">
    <w:name w:val="xl10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Times New Roman" w:eastAsia="宋体" w:hAnsi="Times New Roman" w:cs="Times New Roman"/>
      <w:kern w:val="0"/>
      <w:sz w:val="23"/>
      <w:szCs w:val="23"/>
    </w:rPr>
  </w:style>
  <w:style w:type="paragraph" w:customStyle="1" w:styleId="xl111">
    <w:name w:val="xl11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b/>
      <w:bCs/>
      <w:kern w:val="0"/>
      <w:sz w:val="24"/>
      <w:szCs w:val="24"/>
    </w:rPr>
  </w:style>
  <w:style w:type="paragraph" w:customStyle="1" w:styleId="xl112">
    <w:name w:val="xl11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4"/>
      <w:szCs w:val="24"/>
    </w:rPr>
  </w:style>
  <w:style w:type="paragraph" w:customStyle="1" w:styleId="xl113">
    <w:name w:val="xl113"/>
    <w:basedOn w:val="a"/>
    <w:pPr>
      <w:widowControl/>
      <w:spacing w:before="100" w:beforeAutospacing="1" w:after="100" w:afterAutospacing="1" w:line="240" w:lineRule="auto"/>
      <w:ind w:firstLineChars="0" w:firstLine="0"/>
      <w:jc w:val="left"/>
    </w:pPr>
    <w:rPr>
      <w:rFonts w:ascii="宋体" w:eastAsia="宋体" w:hAnsi="宋体" w:cs="宋体"/>
      <w:b/>
      <w:bCs/>
      <w:kern w:val="0"/>
      <w:sz w:val="24"/>
      <w:szCs w:val="24"/>
    </w:rPr>
  </w:style>
  <w:style w:type="paragraph" w:customStyle="1" w:styleId="xl114">
    <w:name w:val="xl11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4"/>
      <w:szCs w:val="24"/>
    </w:rPr>
  </w:style>
  <w:style w:type="paragraph" w:customStyle="1" w:styleId="xl115">
    <w:name w:val="xl115"/>
    <w:basedOn w:val="a"/>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4"/>
      <w:szCs w:val="24"/>
    </w:rPr>
  </w:style>
  <w:style w:type="paragraph" w:customStyle="1" w:styleId="xl116">
    <w:name w:val="xl116"/>
    <w:basedOn w:val="a"/>
    <w:pPr>
      <w:widowControl/>
      <w:pBdr>
        <w:top w:val="single" w:sz="4" w:space="0" w:color="auto"/>
        <w:bottom w:val="single" w:sz="4" w:space="0" w:color="auto"/>
      </w:pBdr>
      <w:spacing w:before="100" w:beforeAutospacing="1" w:after="100" w:afterAutospacing="1" w:line="240" w:lineRule="auto"/>
      <w:ind w:firstLineChars="0" w:firstLine="0"/>
      <w:jc w:val="left"/>
    </w:pPr>
    <w:rPr>
      <w:rFonts w:ascii="宋体" w:eastAsia="宋体" w:hAnsi="宋体" w:cs="宋体"/>
      <w:b/>
      <w:bCs/>
      <w:kern w:val="0"/>
      <w:sz w:val="24"/>
      <w:szCs w:val="24"/>
    </w:rPr>
  </w:style>
  <w:style w:type="character" w:customStyle="1" w:styleId="af2">
    <w:name w:val="批注主题 字符"/>
    <w:basedOn w:val="a6"/>
    <w:link w:val="af1"/>
    <w:uiPriority w:val="99"/>
    <w:semiHidden/>
    <w:rPr>
      <w:rFonts w:ascii="仿宋_GB2312" w:eastAsia="仿宋_GB2312" w:hAnsi="Times New Roman" w:cs="Times New Roman"/>
      <w:b/>
      <w:bCs/>
      <w:sz w:val="32"/>
      <w:szCs w:val="20"/>
    </w:rPr>
  </w:style>
  <w:style w:type="paragraph" w:customStyle="1" w:styleId="Default">
    <w:name w:val="Default"/>
    <w:pPr>
      <w:widowControl w:val="0"/>
      <w:autoSpaceDE w:val="0"/>
      <w:autoSpaceDN w:val="0"/>
      <w:adjustRightInd w:val="0"/>
    </w:pPr>
    <w:rPr>
      <w:rFonts w:ascii="楷体_GB2312" w:hAnsi="楷体_GB2312" w:cs="楷体_GB2312"/>
      <w:color w:val="000000"/>
      <w:sz w:val="24"/>
      <w:szCs w:val="24"/>
    </w:rPr>
  </w:style>
  <w:style w:type="paragraph" w:styleId="af7">
    <w:name w:val="List Paragraph"/>
    <w:basedOn w:val="a"/>
    <w:uiPriority w:val="34"/>
    <w:qFormat/>
    <w:pPr>
      <w:ind w:firstLine="420"/>
    </w:pPr>
  </w:style>
  <w:style w:type="paragraph" w:customStyle="1" w:styleId="14">
    <w:name w:val="修订1"/>
    <w:hidden/>
    <w:uiPriority w:val="99"/>
    <w:semiHidden/>
    <w:rPr>
      <w:rFonts w:ascii="仿宋_GB2312" w:eastAsia="仿宋_GB2312"/>
      <w:kern w:val="2"/>
      <w:sz w:val="3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sthjj.sxjz.gov.cn/tzgg/content_425206"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C9933E-F0D0-47C6-ABE8-3B07BB27A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3716</Words>
  <Characters>21182</Characters>
  <Application>Microsoft Office Word</Application>
  <DocSecurity>0</DocSecurity>
  <Lines>176</Lines>
  <Paragraphs>49</Paragraphs>
  <ScaleCrop>false</ScaleCrop>
  <Company>HP</Company>
  <LinksUpToDate>false</LinksUpToDate>
  <CharactersWithSpaces>24849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icafeba.com</cp:lastModifiedBy>
  <cp:revision>2</cp:revision>
  <cp:lastPrinted>2022-06-20T02:26:00Z</cp:lastPrinted>
  <dcterms:created xsi:type="dcterms:W3CDTF">2022-07-20T03:15:00Z</dcterms:created>
  <dcterms:modified xsi:type="dcterms:W3CDTF">2022-07-20T03:15:00Z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843BA37545544677AB82487E43200F96</vt:lpwstr>
  </property>
</Properties>
</file>