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545D" w:rsidRDefault="0055545D" w:rsidP="0055545D">
      <w:r>
        <w:fldChar w:fldCharType="begin"/>
      </w:r>
      <w:r>
        <w:instrText xml:space="preserve"> HYPERLINK "</w:instrText>
      </w:r>
      <w:r>
        <w:instrText>http://zjt.nmg.gov.cn/zwgk/zfxxgkn/fdzdgknr/jytabl/202206/t20220627_2078689.html</w:instrText>
      </w:r>
      <w:r>
        <w:instrText xml:space="preserve">" </w:instrText>
      </w:r>
      <w:r>
        <w:fldChar w:fldCharType="separate"/>
      </w:r>
      <w:r w:rsidRPr="008C1621">
        <w:rPr>
          <w:rStyle w:val="a3"/>
        </w:rPr>
        <w:t>http://zjt.nmg.gov.cn/zwgk/zfxxgkn/fdzdgknr/jytabl/202206/t20220627_2078689.html</w:t>
      </w:r>
      <w:r>
        <w:fldChar w:fldCharType="end"/>
      </w:r>
    </w:p>
    <w:p w:rsidR="0055545D" w:rsidRDefault="0055545D" w:rsidP="0055545D"/>
    <w:p w:rsidR="0055545D" w:rsidRDefault="0055545D" w:rsidP="0055545D">
      <w:r>
        <w:tab/>
      </w:r>
      <w:r>
        <w:tab/>
      </w:r>
      <w:proofErr w:type="gramStart"/>
      <w:r>
        <w:t>炉具网讯</w:t>
      </w:r>
      <w:proofErr w:type="gramEnd"/>
      <w:r>
        <w:t>：近日，内蒙古自治区住房和城乡建设厅对自治区十三届人大六次会议第205号建议《关于统筹规划有序推进清洁能源取暖工作的建议》的答复表示，该厅将继续加强与相关部门的沟通和配合，落实以</w:t>
      </w:r>
      <w:proofErr w:type="gramStart"/>
      <w:r>
        <w:t>供定改原则</w:t>
      </w:r>
      <w:proofErr w:type="gramEnd"/>
      <w:r>
        <w:t>，指导各盟市政府结合本地区电网接带能力，有效衔接电网规划，编制出台本地区清洁供暖实施规划，按照推进计划和施工方案，细化任务、合力攻坚，有序分步推进清洁取暖工作，确保高质量完成清洁取暖各项目标任务，切实做好清洁取暖工作。</w:t>
      </w:r>
    </w:p>
    <w:p w:rsidR="0055545D" w:rsidRDefault="0055545D" w:rsidP="0055545D"/>
    <w:p w:rsidR="0055545D" w:rsidRDefault="0055545D" w:rsidP="0055545D">
      <w:pPr>
        <w:jc w:val="center"/>
      </w:pPr>
      <w:r>
        <w:t>内蒙古自治区住房和城乡建设厅对自治区十三届人大六次会议第205号建议的答复</w:t>
      </w:r>
    </w:p>
    <w:p w:rsidR="0055545D" w:rsidRDefault="0055545D" w:rsidP="0055545D">
      <w:pPr>
        <w:jc w:val="center"/>
      </w:pPr>
      <w:r>
        <w:t>内建管函〔2022〕351号</w:t>
      </w:r>
    </w:p>
    <w:p w:rsidR="0055545D" w:rsidRDefault="0055545D" w:rsidP="0055545D"/>
    <w:p w:rsidR="0055545D" w:rsidRDefault="0055545D" w:rsidP="0055545D">
      <w:r>
        <w:t>郑璐代表：</w:t>
      </w:r>
    </w:p>
    <w:p w:rsidR="0055545D" w:rsidRDefault="0055545D" w:rsidP="0055545D"/>
    <w:p w:rsidR="0055545D" w:rsidRDefault="0055545D" w:rsidP="0055545D">
      <w:r>
        <w:tab/>
      </w:r>
      <w:r>
        <w:tab/>
        <w:t>您提出的</w:t>
      </w:r>
      <w:bookmarkStart w:id="0" w:name="_GoBack"/>
      <w:r>
        <w:t>关于统筹规划有序推进清洁能源取暖工作的建议</w:t>
      </w:r>
      <w:bookmarkEnd w:id="0"/>
      <w:r>
        <w:t>收悉，现答复如下：</w:t>
      </w:r>
    </w:p>
    <w:p w:rsidR="0055545D" w:rsidRDefault="0055545D" w:rsidP="0055545D"/>
    <w:p w:rsidR="0055545D" w:rsidRDefault="0055545D" w:rsidP="0055545D">
      <w:r>
        <w:tab/>
      </w:r>
      <w:r>
        <w:tab/>
        <w:t>冬季清洁取暖水平的提高，有利于进一步减少大气污染，促进节能减排。按照</w:t>
      </w:r>
      <w:proofErr w:type="gramStart"/>
      <w:r>
        <w:t>国家发改委</w:t>
      </w:r>
      <w:proofErr w:type="gramEnd"/>
      <w:r>
        <w:t>、国家能源局及自治区政府的安排部署，根据《北方地区冬季清洁取暖规划（2017—2021 年）》要求，我厅联合自治区发展改革委、财政厅等9部门印发了《内蒙古自治区冬季清洁取暖实施方案》，要求各地根据不同区域自身特点，充分考虑居民消费能力，坚持能源安全保障与</w:t>
      </w:r>
      <w:proofErr w:type="gramStart"/>
      <w:r>
        <w:t>清洁发展</w:t>
      </w:r>
      <w:proofErr w:type="gramEnd"/>
      <w:r>
        <w:t>并重，</w:t>
      </w:r>
      <w:proofErr w:type="gramStart"/>
      <w:r>
        <w:t>宜电则</w:t>
      </w:r>
      <w:proofErr w:type="gramEnd"/>
      <w:r>
        <w:t>电、</w:t>
      </w:r>
      <w:proofErr w:type="gramStart"/>
      <w:r>
        <w:t>宜煤则</w:t>
      </w:r>
      <w:proofErr w:type="gramEnd"/>
      <w:r>
        <w:t>煤、宜气则气，采取适宜的清洁供暖策略，在同等条件下选择成本最低和污染物排放最少的清洁供暖组合方式。委托清华大学节能中心编制了《内蒙古自治区清洁取暖</w:t>
      </w:r>
      <w:r>
        <w:rPr>
          <w:rFonts w:hint="eastAsia"/>
        </w:rPr>
        <w:t>发展战略规划》。明</w:t>
      </w:r>
    </w:p>
    <w:p w:rsidR="0055545D" w:rsidRDefault="0055545D" w:rsidP="0055545D"/>
    <w:p w:rsidR="0055545D" w:rsidRDefault="0055545D" w:rsidP="0055545D">
      <w:r>
        <w:tab/>
      </w:r>
      <w:r>
        <w:tab/>
        <w:t>确我区城镇清洁取暖发展方向为优先发展热电厂和工业余热集中供热，电厂和工业余热不足时依靠生物质资源等来补充。根据我区城镇供热现状，以可行清洁热源为切入点，因地制宜，制定各城镇清洁供热发展路线，高效利用清洁能源，淘汰落后产能。</w:t>
      </w:r>
    </w:p>
    <w:p w:rsidR="0055545D" w:rsidRDefault="0055545D" w:rsidP="0055545D"/>
    <w:p w:rsidR="0055545D" w:rsidRDefault="0055545D" w:rsidP="0055545D">
      <w:r>
        <w:tab/>
      </w:r>
      <w:r>
        <w:tab/>
        <w:t>推动各盟市政府按照当地供暖实际，制定具体供暖计划和实施方案。全区12个盟市均制定了本地区清洁取暖工作实施方案。今年5月，呼和浩特市、乌兰察布市、巴彦</w:t>
      </w:r>
      <w:proofErr w:type="gramStart"/>
      <w:r>
        <w:t>淖尔市</w:t>
      </w:r>
      <w:proofErr w:type="gramEnd"/>
      <w:r>
        <w:t>成功入选2022年北方地区冬季清洁取暖试点城市，该项目为期3年(2022—2024年)，每年投资13亿元，共计39亿元。加上2021年入选试点城市的包头市，内蒙古已有4个城市入选，这将为内蒙古大幅减少燃煤污染，打赢蓝天保卫战，彻底改善空气质量，增强人民幸福感提供强有力的资金保障。</w:t>
      </w:r>
    </w:p>
    <w:p w:rsidR="0055545D" w:rsidRDefault="0055545D" w:rsidP="0055545D"/>
    <w:p w:rsidR="0055545D" w:rsidRDefault="0055545D" w:rsidP="0055545D">
      <w:r>
        <w:tab/>
      </w:r>
      <w:r>
        <w:tab/>
        <w:t>在统筹推进“煤改电”项目方面，自治区能源局2021年10月印发《关于有序开展“煤改电”工作有关事宜的紧急通知》（内能电力字〔2021〕722号），明确“煤改电”要以供电能力作为基础，</w:t>
      </w:r>
      <w:proofErr w:type="gramStart"/>
      <w:r>
        <w:t>先保障供电再</w:t>
      </w:r>
      <w:proofErr w:type="gramEnd"/>
      <w:r>
        <w:t>实施改造，要求各盟市按照“成片、整村推进”的原则，统筹制定本地区“煤改电”清洁取暖规划，坚决守住群众安全温暖过冬底线，杜绝脱离自身实际承受能力、一哄而上、盲目建设、负债改造等损害群众切身利益的行为。 </w:t>
      </w:r>
    </w:p>
    <w:p w:rsidR="0055545D" w:rsidRDefault="0055545D" w:rsidP="0055545D"/>
    <w:p w:rsidR="0055545D" w:rsidRDefault="0055545D" w:rsidP="0055545D">
      <w:r>
        <w:tab/>
      </w:r>
      <w:r>
        <w:tab/>
        <w:t>在配套电网建设方面，按照自治区能源局印发的《关于有序开展“煤改电”工作有关事宜的紧急通知》（内能电力字〔2021〕722号）要求，</w:t>
      </w:r>
      <w:proofErr w:type="gramStart"/>
      <w:r>
        <w:t>蒙西电力公司</w:t>
      </w:r>
      <w:proofErr w:type="gramEnd"/>
      <w:r>
        <w:t>持续加大配电网建设改造力度，最大限度保证“煤改电”用户用电需求，并积极配合各盟市制定“煤改电”清洁取暖</w:t>
      </w:r>
      <w:r>
        <w:lastRenderedPageBreak/>
        <w:t>规划。积极开展清洁取暖配套电网建设工作，延伸电网投资界面至用户红线,推动消费侧能源需求绿色转型。 </w:t>
      </w:r>
    </w:p>
    <w:p w:rsidR="0055545D" w:rsidRDefault="0055545D" w:rsidP="0055545D"/>
    <w:p w:rsidR="0055545D" w:rsidRDefault="0055545D" w:rsidP="0055545D">
      <w:r>
        <w:tab/>
      </w:r>
      <w:r>
        <w:tab/>
        <w:t>在市场监管方面，自治区市场监管局将积极组织开展煤电油气等相关领域价格监管，严厉打击各类价格违法行为。按照《关于开展全区高耗能企业电价执行情况专项检查的通知》（内</w:t>
      </w:r>
      <w:proofErr w:type="gramStart"/>
      <w:r>
        <w:t>市监价竞字</w:t>
      </w:r>
      <w:proofErr w:type="gramEnd"/>
      <w:r>
        <w:t>〔2021〕63号）及《自治区市场监管局关于持续开展高耗能企业电价执行情况检查的通知》（内</w:t>
      </w:r>
      <w:proofErr w:type="gramStart"/>
      <w:r>
        <w:t>市监价竞字</w:t>
      </w:r>
      <w:proofErr w:type="gramEnd"/>
      <w:r>
        <w:t>〔2021〕401号）部署，在全区持续开展高耗能企业电价检查。同时要求电网企业做好自查整改工作，严格落实主体责任。继续加强供水供电供气供暖工程安装、维护维修领域价格监管，查处不执行政府定价或政府指导价、收取不合理费用的违法违规行为。重点研</w:t>
      </w:r>
      <w:r>
        <w:rPr>
          <w:rFonts w:hint="eastAsia"/>
        </w:rPr>
        <w:t>究分析电力价格监管新形势新要求，着重加强售电环节和销售电价价格监管。</w:t>
      </w:r>
    </w:p>
    <w:p w:rsidR="0055545D" w:rsidRDefault="0055545D" w:rsidP="0055545D"/>
    <w:p w:rsidR="0055545D" w:rsidRDefault="0055545D" w:rsidP="0055545D">
      <w:r>
        <w:tab/>
      </w:r>
      <w:r>
        <w:tab/>
        <w:t>下一步，按照王莉霞主席、张韶春副主席的指示要求，我厅将继续加强与相关部门的沟通和配合，落实以</w:t>
      </w:r>
      <w:proofErr w:type="gramStart"/>
      <w:r>
        <w:t>供定改原则</w:t>
      </w:r>
      <w:proofErr w:type="gramEnd"/>
      <w:r>
        <w:t>，指导各盟市政府结合本地区电网接带能力，有效衔接电网规划，编制出台本地区清洁供暖实施规划，按照推进计划和施工方案，细化任务、合力攻坚，有序分步推进清洁取暖工作，确保高质量完成清洁取暖各项目标任务，切实做好清洁取暖工作。</w:t>
      </w:r>
    </w:p>
    <w:p w:rsidR="0055545D" w:rsidRDefault="0055545D" w:rsidP="0055545D"/>
    <w:p w:rsidR="0055545D" w:rsidRDefault="0055545D" w:rsidP="0055545D">
      <w:r>
        <w:tab/>
      </w:r>
      <w:r>
        <w:tab/>
        <w:t>感谢您对我区城市管理工作的关心与支持！</w:t>
      </w:r>
    </w:p>
    <w:p w:rsidR="0055545D" w:rsidRDefault="0055545D" w:rsidP="0055545D"/>
    <w:p w:rsidR="0055545D" w:rsidRDefault="0055545D" w:rsidP="0055545D">
      <w:r>
        <w:tab/>
      </w:r>
      <w:r>
        <w:tab/>
        <w:t>2022年6月23日        </w:t>
      </w:r>
    </w:p>
    <w:p w:rsidR="0055545D" w:rsidRDefault="0055545D" w:rsidP="0055545D"/>
    <w:p w:rsidR="0055545D" w:rsidRDefault="0055545D" w:rsidP="0055545D">
      <w:r>
        <w:tab/>
      </w:r>
      <w:r>
        <w:tab/>
        <w:t>签发人：于新芳</w:t>
      </w:r>
    </w:p>
    <w:p w:rsidR="0055545D" w:rsidRDefault="0055545D" w:rsidP="0055545D">
      <w:r>
        <w:tab/>
      </w:r>
      <w:r>
        <w:tab/>
        <w:t>承办人：李江文</w:t>
      </w:r>
    </w:p>
    <w:p w:rsidR="0055545D" w:rsidRDefault="0055545D" w:rsidP="0055545D">
      <w:r>
        <w:tab/>
      </w:r>
      <w:r>
        <w:tab/>
        <w:t>电话：0471—6939294</w:t>
      </w:r>
    </w:p>
    <w:p w:rsidR="0055545D" w:rsidRDefault="0055545D" w:rsidP="0055545D"/>
    <w:p w:rsidR="00BD66A9" w:rsidRDefault="0055545D" w:rsidP="0055545D">
      <w:pPr>
        <w:rPr>
          <w:rFonts w:hint="eastAsia"/>
        </w:rPr>
      </w:pPr>
      <w:r>
        <w:tab/>
      </w:r>
      <w:r>
        <w:tab/>
        <w:t>205关于统筹规划有序推进清洁能源取暖工作的建议</w:t>
      </w:r>
    </w:p>
    <w:tbl>
      <w:tblPr>
        <w:tblpPr w:leftFromText="180" w:rightFromText="180" w:vertAnchor="page" w:horzAnchor="margin" w:tblpY="4358"/>
        <w:tblW w:w="9000" w:type="dxa"/>
        <w:tblCellMar>
          <w:top w:w="15" w:type="dxa"/>
          <w:left w:w="15" w:type="dxa"/>
          <w:bottom w:w="15" w:type="dxa"/>
          <w:right w:w="15" w:type="dxa"/>
        </w:tblCellMar>
        <w:tblLook w:val="04A0" w:firstRow="1" w:lastRow="0" w:firstColumn="1" w:lastColumn="0" w:noHBand="0" w:noVBand="1"/>
      </w:tblPr>
      <w:tblGrid>
        <w:gridCol w:w="2008"/>
        <w:gridCol w:w="1125"/>
        <w:gridCol w:w="1125"/>
        <w:gridCol w:w="2007"/>
        <w:gridCol w:w="2735"/>
      </w:tblGrid>
      <w:tr w:rsidR="0055545D" w:rsidTr="00A22BBA">
        <w:trPr>
          <w:trHeight w:val="480"/>
        </w:trPr>
        <w:tc>
          <w:tcPr>
            <w:tcW w:w="3133" w:type="dxa"/>
            <w:gridSpan w:val="2"/>
            <w:tcBorders>
              <w:top w:val="single" w:sz="6" w:space="0" w:color="000000"/>
              <w:left w:val="single" w:sz="6" w:space="0" w:color="000000"/>
              <w:bottom w:val="single" w:sz="6" w:space="0" w:color="000000"/>
              <w:right w:val="single" w:sz="6" w:space="0" w:color="000000"/>
            </w:tcBorders>
            <w:vAlign w:val="center"/>
            <w:hideMark/>
          </w:tcPr>
          <w:p w:rsidR="0055545D" w:rsidRDefault="0055545D" w:rsidP="00A22BBA">
            <w:pPr>
              <w:rPr>
                <w:rFonts w:cs="Times New Roman"/>
                <w:kern w:val="0"/>
                <w:sz w:val="22"/>
              </w:rPr>
            </w:pPr>
            <w:r>
              <w:rPr>
                <w:rFonts w:cs="Times New Roman" w:hint="eastAsia"/>
                <w:sz w:val="22"/>
              </w:rPr>
              <w:lastRenderedPageBreak/>
              <w:t xml:space="preserve">总编号：205 </w:t>
            </w:r>
          </w:p>
        </w:tc>
        <w:tc>
          <w:tcPr>
            <w:tcW w:w="3132" w:type="dxa"/>
            <w:gridSpan w:val="2"/>
            <w:tcBorders>
              <w:top w:val="single" w:sz="6" w:space="0" w:color="000000"/>
              <w:left w:val="nil"/>
              <w:bottom w:val="single" w:sz="6" w:space="0" w:color="000000"/>
              <w:right w:val="single" w:sz="6" w:space="0" w:color="000000"/>
            </w:tcBorders>
            <w:vAlign w:val="center"/>
            <w:hideMark/>
          </w:tcPr>
          <w:p w:rsidR="0055545D" w:rsidRDefault="0055545D" w:rsidP="00A22BBA">
            <w:pPr>
              <w:rPr>
                <w:rFonts w:cs="Times New Roman" w:hint="eastAsia"/>
                <w:sz w:val="22"/>
              </w:rPr>
            </w:pPr>
            <w:r>
              <w:rPr>
                <w:rFonts w:cs="Times New Roman" w:hint="eastAsia"/>
                <w:sz w:val="22"/>
              </w:rPr>
              <w:t xml:space="preserve">类 别：工交计划类 </w:t>
            </w:r>
          </w:p>
        </w:tc>
        <w:tc>
          <w:tcPr>
            <w:tcW w:w="2735" w:type="dxa"/>
            <w:tcBorders>
              <w:top w:val="single" w:sz="6" w:space="0" w:color="000000"/>
              <w:left w:val="nil"/>
              <w:bottom w:val="single" w:sz="6" w:space="0" w:color="000000"/>
              <w:right w:val="single" w:sz="6" w:space="0" w:color="000000"/>
            </w:tcBorders>
            <w:vAlign w:val="center"/>
            <w:hideMark/>
          </w:tcPr>
          <w:p w:rsidR="0055545D" w:rsidRDefault="0055545D" w:rsidP="00A22BBA">
            <w:pPr>
              <w:rPr>
                <w:rFonts w:cs="Times New Roman" w:hint="eastAsia"/>
                <w:sz w:val="22"/>
              </w:rPr>
            </w:pPr>
            <w:r>
              <w:rPr>
                <w:rFonts w:cs="Times New Roman" w:hint="eastAsia"/>
                <w:sz w:val="22"/>
              </w:rPr>
              <w:t xml:space="preserve">分类号：055 </w:t>
            </w:r>
          </w:p>
        </w:tc>
      </w:tr>
      <w:tr w:rsidR="0055545D" w:rsidTr="00A22BBA">
        <w:trPr>
          <w:trHeight w:val="480"/>
        </w:trPr>
        <w:tc>
          <w:tcPr>
            <w:tcW w:w="9000" w:type="dxa"/>
            <w:gridSpan w:val="5"/>
            <w:tcBorders>
              <w:top w:val="single" w:sz="6" w:space="0" w:color="000000"/>
              <w:left w:val="single" w:sz="6" w:space="0" w:color="000000"/>
              <w:bottom w:val="single" w:sz="6" w:space="0" w:color="000000"/>
              <w:right w:val="single" w:sz="6" w:space="0" w:color="000000"/>
            </w:tcBorders>
            <w:vAlign w:val="center"/>
            <w:hideMark/>
          </w:tcPr>
          <w:p w:rsidR="0055545D" w:rsidRDefault="0055545D" w:rsidP="00A22BBA">
            <w:pPr>
              <w:jc w:val="center"/>
              <w:rPr>
                <w:rFonts w:cs="Times New Roman" w:hint="eastAsia"/>
                <w:sz w:val="22"/>
              </w:rPr>
            </w:pPr>
            <w:r>
              <w:rPr>
                <w:rFonts w:cs="Times New Roman" w:hint="eastAsia"/>
                <w:b/>
                <w:bCs/>
                <w:sz w:val="22"/>
              </w:rPr>
              <w:t>内蒙古自治区人民代表大会代表建议、批评和意见</w:t>
            </w:r>
            <w:r>
              <w:rPr>
                <w:rFonts w:cs="Times New Roman" w:hint="eastAsia"/>
                <w:sz w:val="22"/>
              </w:rPr>
              <w:t> </w:t>
            </w:r>
          </w:p>
        </w:tc>
      </w:tr>
      <w:tr w:rsidR="0055545D" w:rsidTr="00A22BBA">
        <w:trPr>
          <w:trHeight w:val="480"/>
        </w:trPr>
        <w:tc>
          <w:tcPr>
            <w:tcW w:w="2008" w:type="dxa"/>
            <w:tcBorders>
              <w:top w:val="single" w:sz="6" w:space="0" w:color="000000"/>
              <w:left w:val="single" w:sz="6" w:space="0" w:color="000000"/>
              <w:bottom w:val="single" w:sz="6" w:space="0" w:color="000000"/>
              <w:right w:val="single" w:sz="6" w:space="0" w:color="000000"/>
            </w:tcBorders>
            <w:vAlign w:val="center"/>
            <w:hideMark/>
          </w:tcPr>
          <w:p w:rsidR="0055545D" w:rsidRDefault="0055545D" w:rsidP="00A22BBA">
            <w:pPr>
              <w:jc w:val="center"/>
              <w:rPr>
                <w:rFonts w:cs="Times New Roman" w:hint="eastAsia"/>
                <w:sz w:val="22"/>
              </w:rPr>
            </w:pPr>
            <w:r>
              <w:rPr>
                <w:rFonts w:cs="Times New Roman" w:hint="eastAsia"/>
                <w:sz w:val="22"/>
              </w:rPr>
              <w:t xml:space="preserve">建议标题 </w:t>
            </w:r>
          </w:p>
        </w:tc>
        <w:tc>
          <w:tcPr>
            <w:tcW w:w="6992" w:type="dxa"/>
            <w:gridSpan w:val="4"/>
            <w:tcBorders>
              <w:top w:val="single" w:sz="6" w:space="0" w:color="000000"/>
              <w:left w:val="nil"/>
              <w:bottom w:val="single" w:sz="6" w:space="0" w:color="000000"/>
              <w:right w:val="single" w:sz="6" w:space="0" w:color="000000"/>
            </w:tcBorders>
            <w:vAlign w:val="center"/>
            <w:hideMark/>
          </w:tcPr>
          <w:p w:rsidR="0055545D" w:rsidRDefault="0055545D" w:rsidP="00A22BBA">
            <w:pPr>
              <w:rPr>
                <w:rFonts w:cs="Times New Roman" w:hint="eastAsia"/>
                <w:sz w:val="22"/>
              </w:rPr>
            </w:pPr>
            <w:r>
              <w:rPr>
                <w:rFonts w:cs="Times New Roman" w:hint="eastAsia"/>
                <w:sz w:val="22"/>
              </w:rPr>
              <w:t xml:space="preserve">关于统筹规划有序推进清洁能源取暖工作的建议 </w:t>
            </w:r>
          </w:p>
        </w:tc>
      </w:tr>
      <w:tr w:rsidR="0055545D" w:rsidTr="00A22BBA">
        <w:trPr>
          <w:trHeight w:val="480"/>
        </w:trPr>
        <w:tc>
          <w:tcPr>
            <w:tcW w:w="2008" w:type="dxa"/>
            <w:tcBorders>
              <w:top w:val="single" w:sz="6" w:space="0" w:color="000000"/>
              <w:left w:val="single" w:sz="6" w:space="0" w:color="000000"/>
              <w:bottom w:val="single" w:sz="6" w:space="0" w:color="000000"/>
              <w:right w:val="single" w:sz="6" w:space="0" w:color="000000"/>
            </w:tcBorders>
            <w:vAlign w:val="center"/>
            <w:hideMark/>
          </w:tcPr>
          <w:p w:rsidR="0055545D" w:rsidRDefault="0055545D" w:rsidP="00A22BBA">
            <w:pPr>
              <w:jc w:val="center"/>
              <w:rPr>
                <w:rFonts w:cs="Times New Roman" w:hint="eastAsia"/>
                <w:sz w:val="22"/>
              </w:rPr>
            </w:pPr>
            <w:r>
              <w:rPr>
                <w:rFonts w:cs="Times New Roman" w:hint="eastAsia"/>
                <w:sz w:val="22"/>
              </w:rPr>
              <w:t xml:space="preserve">代表姓名 </w:t>
            </w:r>
          </w:p>
        </w:tc>
        <w:tc>
          <w:tcPr>
            <w:tcW w:w="2250" w:type="dxa"/>
            <w:gridSpan w:val="2"/>
            <w:tcBorders>
              <w:top w:val="single" w:sz="6" w:space="0" w:color="000000"/>
              <w:left w:val="nil"/>
              <w:bottom w:val="single" w:sz="6" w:space="0" w:color="000000"/>
              <w:right w:val="single" w:sz="6" w:space="0" w:color="000000"/>
            </w:tcBorders>
            <w:vAlign w:val="center"/>
            <w:hideMark/>
          </w:tcPr>
          <w:p w:rsidR="0055545D" w:rsidRDefault="0055545D" w:rsidP="00A22BBA">
            <w:pPr>
              <w:rPr>
                <w:rFonts w:cs="Times New Roman" w:hint="eastAsia"/>
                <w:sz w:val="22"/>
              </w:rPr>
            </w:pPr>
            <w:r>
              <w:rPr>
                <w:rFonts w:cs="Times New Roman" w:hint="eastAsia"/>
                <w:sz w:val="22"/>
              </w:rPr>
              <w:t xml:space="preserve">郑璐 等 1 名 </w:t>
            </w:r>
          </w:p>
        </w:tc>
        <w:tc>
          <w:tcPr>
            <w:tcW w:w="2007" w:type="dxa"/>
            <w:tcBorders>
              <w:top w:val="single" w:sz="6" w:space="0" w:color="000000"/>
              <w:left w:val="nil"/>
              <w:bottom w:val="single" w:sz="6" w:space="0" w:color="000000"/>
              <w:right w:val="single" w:sz="6" w:space="0" w:color="000000"/>
            </w:tcBorders>
            <w:vAlign w:val="center"/>
            <w:hideMark/>
          </w:tcPr>
          <w:p w:rsidR="0055545D" w:rsidRDefault="0055545D" w:rsidP="00A22BBA">
            <w:pPr>
              <w:jc w:val="center"/>
              <w:rPr>
                <w:rFonts w:cs="Times New Roman" w:hint="eastAsia"/>
                <w:sz w:val="22"/>
              </w:rPr>
            </w:pPr>
            <w:r>
              <w:rPr>
                <w:rFonts w:cs="Times New Roman" w:hint="eastAsia"/>
                <w:sz w:val="22"/>
              </w:rPr>
              <w:t xml:space="preserve">代 表 团 </w:t>
            </w:r>
          </w:p>
        </w:tc>
        <w:tc>
          <w:tcPr>
            <w:tcW w:w="2735" w:type="dxa"/>
            <w:tcBorders>
              <w:top w:val="single" w:sz="6" w:space="0" w:color="000000"/>
              <w:left w:val="nil"/>
              <w:bottom w:val="single" w:sz="6" w:space="0" w:color="000000"/>
              <w:right w:val="single" w:sz="6" w:space="0" w:color="000000"/>
            </w:tcBorders>
            <w:vAlign w:val="center"/>
            <w:hideMark/>
          </w:tcPr>
          <w:p w:rsidR="0055545D" w:rsidRDefault="0055545D" w:rsidP="00A22BBA">
            <w:pPr>
              <w:rPr>
                <w:rFonts w:cs="Times New Roman" w:hint="eastAsia"/>
                <w:sz w:val="22"/>
              </w:rPr>
            </w:pPr>
            <w:r>
              <w:rPr>
                <w:rFonts w:cs="Times New Roman" w:hint="eastAsia"/>
                <w:sz w:val="22"/>
              </w:rPr>
              <w:t>巴彦</w:t>
            </w:r>
            <w:proofErr w:type="gramStart"/>
            <w:r>
              <w:rPr>
                <w:rFonts w:cs="Times New Roman" w:hint="eastAsia"/>
                <w:sz w:val="22"/>
              </w:rPr>
              <w:t>淖尔市</w:t>
            </w:r>
            <w:proofErr w:type="gramEnd"/>
            <w:r>
              <w:rPr>
                <w:rFonts w:cs="Times New Roman" w:hint="eastAsia"/>
                <w:sz w:val="22"/>
              </w:rPr>
              <w:t xml:space="preserve"> </w:t>
            </w:r>
          </w:p>
        </w:tc>
      </w:tr>
      <w:tr w:rsidR="0055545D" w:rsidTr="00A22BBA">
        <w:trPr>
          <w:trHeight w:val="480"/>
        </w:trPr>
        <w:tc>
          <w:tcPr>
            <w:tcW w:w="9000" w:type="dxa"/>
            <w:gridSpan w:val="5"/>
            <w:tcBorders>
              <w:top w:val="single" w:sz="6" w:space="0" w:color="000000"/>
              <w:left w:val="single" w:sz="6" w:space="0" w:color="000000"/>
              <w:bottom w:val="single" w:sz="6" w:space="0" w:color="000000"/>
              <w:right w:val="single" w:sz="6" w:space="0" w:color="000000"/>
            </w:tcBorders>
            <w:vAlign w:val="center"/>
            <w:hideMark/>
          </w:tcPr>
          <w:p w:rsidR="0055545D" w:rsidRDefault="0055545D" w:rsidP="00A22BBA">
            <w:pPr>
              <w:rPr>
                <w:rFonts w:cs="Times New Roman" w:hint="eastAsia"/>
                <w:sz w:val="22"/>
              </w:rPr>
            </w:pPr>
            <w:r>
              <w:rPr>
                <w:rFonts w:cs="Times New Roman" w:hint="eastAsia"/>
                <w:sz w:val="22"/>
              </w:rPr>
              <w:t xml:space="preserve">建议内容（包括案由、案据和方案） </w:t>
            </w:r>
          </w:p>
        </w:tc>
      </w:tr>
      <w:tr w:rsidR="0055545D" w:rsidTr="00A22BBA">
        <w:trPr>
          <w:trHeight w:val="480"/>
        </w:trPr>
        <w:tc>
          <w:tcPr>
            <w:tcW w:w="9000" w:type="dxa"/>
            <w:gridSpan w:val="5"/>
            <w:tcBorders>
              <w:top w:val="single" w:sz="6" w:space="0" w:color="000000"/>
              <w:left w:val="single" w:sz="6" w:space="0" w:color="000000"/>
              <w:bottom w:val="single" w:sz="6" w:space="0" w:color="000000"/>
              <w:right w:val="single" w:sz="6" w:space="0" w:color="000000"/>
            </w:tcBorders>
            <w:vAlign w:val="center"/>
            <w:hideMark/>
          </w:tcPr>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t>推进清洁能源取暖工作是落</w:t>
            </w:r>
            <w:proofErr w:type="gramStart"/>
            <w:r>
              <w:rPr>
                <w:rFonts w:cs="Times New Roman" w:hint="eastAsia"/>
                <w:sz w:val="27"/>
                <w:szCs w:val="27"/>
              </w:rPr>
              <w:t>实习近</w:t>
            </w:r>
            <w:proofErr w:type="gramEnd"/>
            <w:r>
              <w:rPr>
                <w:rFonts w:cs="Times New Roman" w:hint="eastAsia"/>
                <w:sz w:val="27"/>
                <w:szCs w:val="27"/>
              </w:rPr>
              <w:t xml:space="preserve">平总书记关于北方地区冬季清洁能源取暖的重要指示，改善大气环境，提高群众生活质量的重要举措。受国内煤炭价格居高不下和清洁能源取暖优惠政策等多种因素推动下，清洁能源取暖已成为农村、城郊结合部居民取暖的新选择，全区清洁能源取暖用户井喷式增长。但大量无序“煤改电”项目的建设，影响节能减排的成效，危及电网安全运行。主要表现在以下几个方面： </w:t>
            </w:r>
          </w:p>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t>（一）政策制定方面。按照《内蒙古自治区能源局关于有序开展“煤改电”工作有关事宜的紧急通知》要求，各地区能源主管部门要强化规划管理、确保电网安全、有序组织实施，按照“成片整村推进”原则，因地制宜、分批实施，统筹制定地区清洁供暖规划和配套电网改造计划。但目前，绝大多数地区未出台清洁取暖整体规划和工作指导性意见，导致配电网改造与</w:t>
            </w:r>
            <w:proofErr w:type="gramStart"/>
            <w:r>
              <w:rPr>
                <w:rFonts w:cs="Times New Roman" w:hint="eastAsia"/>
                <w:sz w:val="27"/>
                <w:szCs w:val="27"/>
              </w:rPr>
              <w:t>煤改电需求</w:t>
            </w:r>
            <w:proofErr w:type="gramEnd"/>
            <w:r>
              <w:rPr>
                <w:rFonts w:cs="Times New Roman" w:hint="eastAsia"/>
                <w:sz w:val="27"/>
                <w:szCs w:val="27"/>
              </w:rPr>
              <w:t xml:space="preserve">无法衔接。 </w:t>
            </w:r>
          </w:p>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t xml:space="preserve">（二）电价执行方面。现行“煤改电”优惠电价将零散自建电采暖的居民用户纳入执行范围，引发大量零散“煤改电”居民一窝蜂无序自行改造。 </w:t>
            </w:r>
          </w:p>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lastRenderedPageBreak/>
              <w:t>（三）配套电网建设方面。配套电网建设与改造需要周期，由于没有</w:t>
            </w:r>
            <w:proofErr w:type="gramStart"/>
            <w:r>
              <w:rPr>
                <w:rFonts w:cs="Times New Roman" w:hint="eastAsia"/>
                <w:sz w:val="27"/>
                <w:szCs w:val="27"/>
              </w:rPr>
              <w:t>煤改电规划</w:t>
            </w:r>
            <w:proofErr w:type="gramEnd"/>
            <w:r>
              <w:rPr>
                <w:rFonts w:cs="Times New Roman" w:hint="eastAsia"/>
                <w:sz w:val="27"/>
                <w:szCs w:val="27"/>
              </w:rPr>
              <w:t>及实施意见进行科学指导，2021年大量</w:t>
            </w:r>
            <w:proofErr w:type="gramStart"/>
            <w:r>
              <w:rPr>
                <w:rFonts w:cs="Times New Roman" w:hint="eastAsia"/>
                <w:sz w:val="27"/>
                <w:szCs w:val="27"/>
              </w:rPr>
              <w:t>煤改电用户</w:t>
            </w:r>
            <w:proofErr w:type="gramEnd"/>
            <w:r>
              <w:rPr>
                <w:rFonts w:cs="Times New Roman" w:hint="eastAsia"/>
                <w:sz w:val="27"/>
                <w:szCs w:val="27"/>
              </w:rPr>
              <w:t>无序改造，</w:t>
            </w:r>
            <w:proofErr w:type="gramStart"/>
            <w:r>
              <w:rPr>
                <w:rFonts w:cs="Times New Roman" w:hint="eastAsia"/>
                <w:sz w:val="27"/>
                <w:szCs w:val="27"/>
              </w:rPr>
              <w:t>受现有</w:t>
            </w:r>
            <w:proofErr w:type="gramEnd"/>
            <w:r>
              <w:rPr>
                <w:rFonts w:cs="Times New Roman" w:hint="eastAsia"/>
                <w:sz w:val="27"/>
                <w:szCs w:val="27"/>
              </w:rPr>
              <w:t xml:space="preserve">电网承载能力的限制，不能满足大量零散“煤改电”居民用电需求。 </w:t>
            </w:r>
          </w:p>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t xml:space="preserve">（四）社会舆论方面。部分不满足接入条件的零散“煤改电”客户通过拨打投诉热线和在互联网站、信息平台发布不实信息，引发舆情事件，给“煤改电”工作和相关部门造成负面影响。 </w:t>
            </w:r>
          </w:p>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t>（五）产品质量方面。零散“煤改电”居民使用的电采暖设备能耗较高、功率大、后期使用成本较高，使用过程存在安全风险，在下个采暖期可能出现客户</w:t>
            </w:r>
            <w:proofErr w:type="gramStart"/>
            <w:r>
              <w:rPr>
                <w:rFonts w:cs="Times New Roman" w:hint="eastAsia"/>
                <w:sz w:val="27"/>
                <w:szCs w:val="27"/>
              </w:rPr>
              <w:t>弃电返煤的</w:t>
            </w:r>
            <w:proofErr w:type="gramEnd"/>
            <w:r>
              <w:rPr>
                <w:rFonts w:cs="Times New Roman" w:hint="eastAsia"/>
                <w:sz w:val="27"/>
                <w:szCs w:val="27"/>
              </w:rPr>
              <w:t xml:space="preserve">情况。 </w:t>
            </w:r>
          </w:p>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t xml:space="preserve">建议： </w:t>
            </w:r>
          </w:p>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t xml:space="preserve">一、建议自治区相关部门出台清洁供暖工作整体规划实施方案，积极争取国家清洁取暖专项补贴资金，合理制定补贴原则，以清洁高效、成本可控为原则，督促各地区尽快出台“清洁能源取暖”规划及实施方案，坚持以供定改，明确改造范围，以成片、整村推进的方式，循序渐进、分批实施。 </w:t>
            </w:r>
          </w:p>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t xml:space="preserve">二、建议在“煤改电”优惠电价政策制定方面借鉴其他省市经验，以政府补贴模式或以优惠电价限量模式出台“煤改电”电价政策，按照政府整体规划确定“煤改电”优惠政策实施范围，取消零散自建电采暖的居民用户执行“煤改电”电价。 </w:t>
            </w:r>
          </w:p>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t xml:space="preserve">三、建议政府部门加大与电网企业的衔接，充分考虑电网承载能力和建设周期，科学制定地区清洁取暖改造计划，提前开展供电设施改造和办电服务前置。 </w:t>
            </w:r>
          </w:p>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lastRenderedPageBreak/>
              <w:t xml:space="preserve">四、建议政府相关部门与供电企业加强舆论导向，结合实际情况，采取“宜电则电、宜气则气、宜煤则煤、宜热则热”的原则，对于电网企业不具备接入能力的地区，引导群众继续采用原有供暖方式，紧密结合目前电网实际供电能力和电网改造周期，避免出现非计划内零散户大规模无序报装和舆情事件的发生。 </w:t>
            </w:r>
          </w:p>
          <w:p w:rsidR="0055545D" w:rsidRDefault="0055545D" w:rsidP="00A22BBA">
            <w:pPr>
              <w:pStyle w:val="a4"/>
              <w:spacing w:line="480" w:lineRule="auto"/>
              <w:ind w:firstLine="420"/>
              <w:rPr>
                <w:rFonts w:cs="Times New Roman" w:hint="eastAsia"/>
                <w:sz w:val="27"/>
                <w:szCs w:val="27"/>
              </w:rPr>
            </w:pPr>
            <w:r>
              <w:rPr>
                <w:rFonts w:cs="Times New Roman" w:hint="eastAsia"/>
                <w:sz w:val="27"/>
                <w:szCs w:val="27"/>
              </w:rPr>
              <w:t xml:space="preserve">五、建议政府有关部门应加大节能设备的宣传推广和对清洁取暖设备的市场监督检查力度，鼓励居民选择集中式供暖改造以及使用空气源热泵、天然气炉等高效节能设备，确保市场流通领域的清洁采暖设备产品质量和节能标准符合国家相关要求，让居民冬季取暖“用得起、放心用”，实现民心更暖天更蓝。 </w:t>
            </w:r>
          </w:p>
        </w:tc>
      </w:tr>
    </w:tbl>
    <w:p w:rsidR="0055545D" w:rsidRPr="0055545D" w:rsidRDefault="0055545D" w:rsidP="0055545D">
      <w:pPr>
        <w:rPr>
          <w:rFonts w:hint="eastAsia"/>
        </w:rPr>
      </w:pPr>
    </w:p>
    <w:sectPr w:rsidR="0055545D" w:rsidRPr="0055545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6A9"/>
    <w:rsid w:val="000F1949"/>
    <w:rsid w:val="0055545D"/>
    <w:rsid w:val="00BD6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C1CE4"/>
  <w15:chartTrackingRefBased/>
  <w15:docId w15:val="{0CB49981-2F40-4380-98E3-2A18932E5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D66A9"/>
    <w:rPr>
      <w:color w:val="0563C1" w:themeColor="hyperlink"/>
      <w:u w:val="single"/>
    </w:rPr>
  </w:style>
  <w:style w:type="paragraph" w:styleId="a4">
    <w:name w:val="Normal (Web)"/>
    <w:basedOn w:val="a"/>
    <w:rsid w:val="0055545D"/>
    <w:pPr>
      <w:widowControl/>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514</Words>
  <Characters>2931</Characters>
  <Application>Microsoft Office Word</Application>
  <DocSecurity>0</DocSecurity>
  <Lines>24</Lines>
  <Paragraphs>6</Paragraphs>
  <ScaleCrop>false</ScaleCrop>
  <Company>icafeba.com</Company>
  <LinksUpToDate>false</LinksUpToDate>
  <CharactersWithSpaces>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2022-06-27T23:22:00Z</dcterms:created>
  <dcterms:modified xsi:type="dcterms:W3CDTF">2022-06-27T23:22:00Z</dcterms:modified>
</cp:coreProperties>
</file>